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C3DE" w14:textId="3548B916" w:rsidR="00334D2D" w:rsidRPr="00AD7F80" w:rsidRDefault="00276131" w:rsidP="00AD7F80">
      <w:pPr>
        <w:pStyle w:val="Title"/>
      </w:pPr>
      <w:bookmarkStart w:id="0" w:name="_Hlk56172751"/>
      <w:r w:rsidRPr="00AD7F80">
        <w:t>TA Center Adapted</w:t>
      </w:r>
      <w:r w:rsidR="007E5312">
        <w:t xml:space="preserve"> </w:t>
      </w:r>
      <w:r w:rsidR="007E5312">
        <w:br/>
      </w:r>
      <w:r w:rsidR="00334D2D" w:rsidRPr="00AD7F80">
        <w:t>Part B</w:t>
      </w:r>
      <w:bookmarkStart w:id="1" w:name="_Hlk74323532"/>
      <w:r w:rsidR="004018DE" w:rsidRPr="00AD7F80">
        <w:t xml:space="preserve"> Subrecipient Monitoring</w:t>
      </w:r>
    </w:p>
    <w:bookmarkEnd w:id="1"/>
    <w:p w14:paraId="2E80D15B" w14:textId="4A52AA67" w:rsidR="00D87220" w:rsidRPr="006508D5" w:rsidRDefault="004018DE" w:rsidP="006508D5">
      <w:pPr>
        <w:pStyle w:val="Heading1"/>
      </w:pPr>
      <w:r>
        <w:t>BACKGROUND INFORMATION</w:t>
      </w:r>
    </w:p>
    <w:p w14:paraId="1EEC5FEF" w14:textId="1483E8A6" w:rsidR="00D87220" w:rsidRDefault="00D87220" w:rsidP="00BA5FE4">
      <w:pPr>
        <w:spacing w:before="60" w:after="360"/>
        <w:rPr>
          <w:rFonts w:cstheme="minorHAnsi"/>
          <w:color w:val="000000" w:themeColor="text1"/>
        </w:rPr>
      </w:pPr>
      <w:r w:rsidRPr="0022516F">
        <w:rPr>
          <w:rFonts w:cstheme="minorHAnsi"/>
          <w:color w:val="000000" w:themeColor="text1"/>
          <w:shd w:val="clear" w:color="auto" w:fill="FFFFFF"/>
        </w:rPr>
        <w:t>In 2016, OSEP began providing differentiated monitoring and support (DMS) to States as part of its Results Driven Accountability (</w:t>
      </w:r>
      <w:hyperlink r:id="rId12" w:tooltip="Read more about Results Driven Accountability" w:history="1">
        <w:r w:rsidRPr="00DC5281">
          <w:rPr>
            <w:rStyle w:val="Hyperlink"/>
            <w:rFonts w:cstheme="minorHAnsi"/>
            <w:color w:val="000000" w:themeColor="text1"/>
            <w:shd w:val="clear" w:color="auto" w:fill="FFFFFF"/>
          </w:rPr>
          <w:t>RDA</w:t>
        </w:r>
      </w:hyperlink>
      <w:r w:rsidRPr="0022516F">
        <w:rPr>
          <w:rFonts w:cstheme="minorHAnsi"/>
          <w:color w:val="000000" w:themeColor="text1"/>
          <w:shd w:val="clear" w:color="auto" w:fill="FFFFFF"/>
        </w:rPr>
        <w:t>) system</w:t>
      </w:r>
      <w:r>
        <w:rPr>
          <w:rFonts w:cstheme="minorHAnsi"/>
          <w:color w:val="000000" w:themeColor="text1"/>
          <w:shd w:val="clear" w:color="auto" w:fill="FFFFFF"/>
        </w:rPr>
        <w:t xml:space="preserve"> under Parts B and C of the Individuals with Disabilities Education Act (IDEA)</w:t>
      </w:r>
      <w:r w:rsidRPr="0022516F">
        <w:rPr>
          <w:rFonts w:cstheme="minorHAnsi"/>
          <w:color w:val="000000" w:themeColor="text1"/>
          <w:shd w:val="clear" w:color="auto" w:fill="FFFFFF"/>
        </w:rPr>
        <w:t xml:space="preserve">. Under RDA, OSEP made a shift from monitoring based solely on compliance </w:t>
      </w:r>
      <w:r>
        <w:rPr>
          <w:rFonts w:cstheme="minorHAnsi"/>
          <w:color w:val="000000" w:themeColor="text1"/>
          <w:shd w:val="clear" w:color="auto" w:fill="FFFFFF"/>
        </w:rPr>
        <w:t xml:space="preserve">with IDEA requirements </w:t>
      </w:r>
      <w:r w:rsidRPr="0022516F">
        <w:rPr>
          <w:rFonts w:cstheme="minorHAnsi"/>
          <w:color w:val="000000" w:themeColor="text1"/>
          <w:shd w:val="clear" w:color="auto" w:fill="FFFFFF"/>
        </w:rPr>
        <w:t xml:space="preserve">to monitoring and support focused on both compliance and improving results for </w:t>
      </w:r>
      <w:r>
        <w:rPr>
          <w:rFonts w:cstheme="minorHAnsi"/>
          <w:color w:val="000000" w:themeColor="text1"/>
          <w:shd w:val="clear" w:color="auto" w:fill="FFFFFF"/>
        </w:rPr>
        <w:t xml:space="preserve">infants, toddlers, </w:t>
      </w:r>
      <w:r w:rsidRPr="0022516F">
        <w:rPr>
          <w:rFonts w:cstheme="minorHAnsi"/>
          <w:color w:val="000000" w:themeColor="text1"/>
          <w:shd w:val="clear" w:color="auto" w:fill="FFFFFF"/>
        </w:rPr>
        <w:t>children with disabilities</w:t>
      </w:r>
      <w:r>
        <w:rPr>
          <w:rFonts w:cstheme="minorHAnsi"/>
          <w:color w:val="000000" w:themeColor="text1"/>
          <w:shd w:val="clear" w:color="auto" w:fill="FFFFFF"/>
        </w:rPr>
        <w:t xml:space="preserve"> referred to and/or served under the IDEA (collectively referred to as children with disabilities)</w:t>
      </w:r>
      <w:r w:rsidRPr="0022516F">
        <w:rPr>
          <w:rFonts w:cstheme="minorHAnsi"/>
          <w:color w:val="000000" w:themeColor="text1"/>
          <w:shd w:val="clear" w:color="auto" w:fill="FFFFFF"/>
        </w:rPr>
        <w:t xml:space="preserve">. OSEP differentiates its approach for each </w:t>
      </w:r>
      <w:r>
        <w:rPr>
          <w:rFonts w:cstheme="minorHAnsi"/>
          <w:color w:val="000000" w:themeColor="text1"/>
          <w:shd w:val="clear" w:color="auto" w:fill="FFFFFF"/>
        </w:rPr>
        <w:t>S</w:t>
      </w:r>
      <w:r w:rsidRPr="0022516F">
        <w:rPr>
          <w:rFonts w:cstheme="minorHAnsi"/>
          <w:color w:val="000000" w:themeColor="text1"/>
          <w:shd w:val="clear" w:color="auto" w:fill="FFFFFF"/>
        </w:rPr>
        <w:t xml:space="preserve">tate based on the </w:t>
      </w:r>
      <w:r>
        <w:rPr>
          <w:rFonts w:cstheme="minorHAnsi"/>
          <w:color w:val="000000" w:themeColor="text1"/>
          <w:shd w:val="clear" w:color="auto" w:fill="FFFFFF"/>
        </w:rPr>
        <w:t>S</w:t>
      </w:r>
      <w:r w:rsidRPr="0022516F">
        <w:rPr>
          <w:rFonts w:cstheme="minorHAnsi"/>
          <w:color w:val="000000" w:themeColor="text1"/>
          <w:shd w:val="clear" w:color="auto" w:fill="FFFFFF"/>
        </w:rPr>
        <w:t>tate's unique strengths, challenges, and needs.</w:t>
      </w:r>
      <w:r w:rsidRPr="0022516F">
        <w:rPr>
          <w:rFonts w:cstheme="minorHAnsi"/>
          <w:color w:val="000000" w:themeColor="text1"/>
        </w:rPr>
        <w:t xml:space="preserve"> Beginning in </w:t>
      </w:r>
      <w:proofErr w:type="gramStart"/>
      <w:r>
        <w:rPr>
          <w:rFonts w:cstheme="minorHAnsi"/>
          <w:color w:val="000000" w:themeColor="text1"/>
        </w:rPr>
        <w:t>Federal</w:t>
      </w:r>
      <w:proofErr w:type="gramEnd"/>
      <w:r>
        <w:rPr>
          <w:rFonts w:cstheme="minorHAnsi"/>
          <w:color w:val="000000" w:themeColor="text1"/>
        </w:rPr>
        <w:t xml:space="preserve"> fiscal year (</w:t>
      </w:r>
      <w:r w:rsidRPr="0022516F">
        <w:rPr>
          <w:rFonts w:cstheme="minorHAnsi"/>
          <w:color w:val="000000" w:themeColor="text1"/>
        </w:rPr>
        <w:t>FFY</w:t>
      </w:r>
      <w:r>
        <w:rPr>
          <w:rFonts w:cstheme="minorHAnsi"/>
          <w:color w:val="000000" w:themeColor="text1"/>
        </w:rPr>
        <w:t>)</w:t>
      </w:r>
      <w:r w:rsidRPr="0022516F">
        <w:rPr>
          <w:rFonts w:cstheme="minorHAnsi"/>
          <w:color w:val="000000" w:themeColor="text1"/>
        </w:rPr>
        <w:t xml:space="preserve"> 2021, Part B and Part C programs in States will be monitored by OSEP in a five-year cycle. </w:t>
      </w:r>
      <w:r>
        <w:rPr>
          <w:rFonts w:cstheme="minorHAnsi"/>
          <w:color w:val="000000" w:themeColor="text1"/>
        </w:rPr>
        <w:t>OSEP will monitor a</w:t>
      </w:r>
      <w:r w:rsidRPr="0022516F">
        <w:rPr>
          <w:rFonts w:cstheme="minorHAnsi"/>
          <w:color w:val="000000" w:themeColor="text1"/>
        </w:rPr>
        <w:t>ll States</w:t>
      </w:r>
      <w:r>
        <w:rPr>
          <w:rStyle w:val="FootnoteReference"/>
          <w:rFonts w:cstheme="minorHAnsi"/>
          <w:color w:val="000000" w:themeColor="text1"/>
        </w:rPr>
        <w:footnoteReference w:id="2"/>
      </w:r>
      <w:r w:rsidRPr="0022516F">
        <w:rPr>
          <w:rFonts w:cstheme="minorHAnsi"/>
          <w:color w:val="000000" w:themeColor="text1"/>
        </w:rPr>
        <w:t xml:space="preserve"> on </w:t>
      </w:r>
      <w:r>
        <w:rPr>
          <w:rFonts w:cstheme="minorHAnsi"/>
          <w:color w:val="000000" w:themeColor="text1"/>
        </w:rPr>
        <w:t>their general supervision systems. OSEP will continue to provide s</w:t>
      </w:r>
      <w:r w:rsidRPr="0022516F">
        <w:rPr>
          <w:rFonts w:cstheme="minorHAnsi"/>
          <w:color w:val="000000" w:themeColor="text1"/>
        </w:rPr>
        <w:t xml:space="preserve">upport and technical assistance </w:t>
      </w:r>
      <w:r>
        <w:rPr>
          <w:rFonts w:cstheme="minorHAnsi"/>
          <w:color w:val="000000" w:themeColor="text1"/>
        </w:rPr>
        <w:t>that is</w:t>
      </w:r>
      <w:r w:rsidRPr="0022516F">
        <w:rPr>
          <w:rFonts w:cstheme="minorHAnsi"/>
          <w:color w:val="000000" w:themeColor="text1"/>
        </w:rPr>
        <w:t xml:space="preserve"> differentiated based on each </w:t>
      </w:r>
      <w:r>
        <w:rPr>
          <w:rFonts w:cstheme="minorHAnsi"/>
          <w:color w:val="000000" w:themeColor="text1"/>
        </w:rPr>
        <w:t>S</w:t>
      </w:r>
      <w:r w:rsidRPr="0022516F">
        <w:rPr>
          <w:rFonts w:cstheme="minorHAnsi"/>
          <w:color w:val="000000" w:themeColor="text1"/>
        </w:rPr>
        <w:t>tate’s unique strengths, challenges, and needs.</w:t>
      </w:r>
    </w:p>
    <w:p w14:paraId="659FB6DA" w14:textId="77777777" w:rsidR="004018DE" w:rsidRPr="004018DE" w:rsidRDefault="004018DE" w:rsidP="00BA5FE4">
      <w:pPr>
        <w:spacing w:before="60" w:after="360"/>
        <w:rPr>
          <w:rFonts w:cstheme="minorHAnsi"/>
          <w:color w:val="000000" w:themeColor="text1"/>
        </w:rPr>
      </w:pPr>
      <w:r w:rsidRPr="004018DE">
        <w:rPr>
          <w:rFonts w:cstheme="minorHAnsi"/>
          <w:color w:val="000000" w:themeColor="text1"/>
        </w:rPr>
        <w:t xml:space="preserve">As grantees and pass-through entities, State educational agencies (SEAs) have general supervisory responsibility, which includes subrecipient monitoring to ensure compliance with both fiscal and programmatic requirements. Among the requirements are those in Part B of the Individuals with Disabilities Education Act (IDEA 34 C.F.R. §§ 300.149 and 300.600), Part 76 of the Education Department General Administrative Regulations (EDGAR), and in the </w:t>
      </w:r>
      <w:r w:rsidRPr="004018DE">
        <w:rPr>
          <w:rFonts w:cstheme="minorHAnsi"/>
          <w:i/>
          <w:color w:val="000000" w:themeColor="text1"/>
        </w:rPr>
        <w:t xml:space="preserve">Uniform Administrative Requirements, Cost Principles, and Audit Requirements for Federal Awards </w:t>
      </w:r>
      <w:r w:rsidRPr="004018DE">
        <w:rPr>
          <w:rFonts w:cstheme="minorHAnsi"/>
          <w:color w:val="000000" w:themeColor="text1"/>
        </w:rPr>
        <w:t>(the Uniform Guidance) at 2 C.F.R. § 200. In the area of subrecipient monitoring, the Uniform Guidance provides both requirements and opportunities for exploring new or different ways for SEAs to carry out their monitoring responsibilities in the most effective and efficient manner.</w:t>
      </w:r>
    </w:p>
    <w:p w14:paraId="3E1B93C6" w14:textId="77777777" w:rsidR="004018DE" w:rsidRPr="004018DE" w:rsidRDefault="004018DE" w:rsidP="00BA5FE4">
      <w:pPr>
        <w:spacing w:before="60" w:after="360"/>
        <w:rPr>
          <w:rFonts w:cstheme="minorHAnsi"/>
          <w:color w:val="000000" w:themeColor="text1"/>
        </w:rPr>
      </w:pPr>
      <w:r w:rsidRPr="004018DE">
        <w:rPr>
          <w:rFonts w:cstheme="minorHAnsi"/>
          <w:color w:val="000000" w:themeColor="text1"/>
        </w:rPr>
        <w:t xml:space="preserve">In addition to IDEA, EDGAR Part 76, and the Uniform Guidance, there are other regulations and requirements applicable to administering a </w:t>
      </w:r>
      <w:proofErr w:type="gramStart"/>
      <w:r w:rsidRPr="004018DE">
        <w:rPr>
          <w:rFonts w:cstheme="minorHAnsi"/>
          <w:color w:val="000000" w:themeColor="text1"/>
        </w:rPr>
        <w:t>Federal</w:t>
      </w:r>
      <w:proofErr w:type="gramEnd"/>
      <w:r w:rsidRPr="004018DE">
        <w:rPr>
          <w:rFonts w:cstheme="minorHAnsi"/>
          <w:color w:val="000000" w:themeColor="text1"/>
        </w:rPr>
        <w:t xml:space="preserve"> grant and many of the requirements apply to subgrants and subrecipients. Some are mentioned here but are beyond the scope of the specifics of this monitoring protocol; however, during monitoring if noncompliance with any of the regulations and requirements applicable to administering a </w:t>
      </w:r>
      <w:proofErr w:type="gramStart"/>
      <w:r w:rsidRPr="004018DE">
        <w:rPr>
          <w:rFonts w:cstheme="minorHAnsi"/>
          <w:color w:val="000000" w:themeColor="text1"/>
        </w:rPr>
        <w:t>Federal</w:t>
      </w:r>
      <w:proofErr w:type="gramEnd"/>
      <w:r w:rsidRPr="004018DE">
        <w:rPr>
          <w:rFonts w:cstheme="minorHAnsi"/>
          <w:color w:val="000000" w:themeColor="text1"/>
        </w:rPr>
        <w:t xml:space="preserve"> grant is identified, appropriate follow-up will occur.</w:t>
      </w:r>
    </w:p>
    <w:p w14:paraId="13744B2B" w14:textId="77777777" w:rsidR="004018DE" w:rsidRPr="004018DE" w:rsidRDefault="004018DE" w:rsidP="00AE1020">
      <w:pPr>
        <w:pStyle w:val="ListParagraph"/>
        <w:numPr>
          <w:ilvl w:val="0"/>
          <w:numId w:val="2"/>
        </w:numPr>
        <w:spacing w:before="60" w:after="240"/>
        <w:rPr>
          <w:rFonts w:cstheme="minorHAnsi"/>
          <w:color w:val="000000" w:themeColor="text1"/>
        </w:rPr>
      </w:pPr>
      <w:r w:rsidRPr="004018DE">
        <w:rPr>
          <w:rFonts w:cstheme="minorHAnsi"/>
          <w:color w:val="000000" w:themeColor="text1"/>
        </w:rPr>
        <w:t>The System for Award Management (SAM.gov</w:t>
      </w:r>
      <w:proofErr w:type="gramStart"/>
      <w:r w:rsidRPr="004018DE">
        <w:rPr>
          <w:rFonts w:cstheme="minorHAnsi"/>
          <w:color w:val="000000" w:themeColor="text1"/>
        </w:rPr>
        <w:t>);</w:t>
      </w:r>
      <w:proofErr w:type="gramEnd"/>
    </w:p>
    <w:p w14:paraId="6F745EC6" w14:textId="77777777" w:rsidR="004018DE" w:rsidRPr="004018DE" w:rsidRDefault="004018DE" w:rsidP="00AE1020">
      <w:pPr>
        <w:pStyle w:val="ListParagraph"/>
        <w:numPr>
          <w:ilvl w:val="0"/>
          <w:numId w:val="2"/>
        </w:numPr>
        <w:spacing w:before="60" w:after="240"/>
        <w:rPr>
          <w:rFonts w:cstheme="minorHAnsi"/>
          <w:color w:val="000000" w:themeColor="text1"/>
        </w:rPr>
      </w:pPr>
      <w:r w:rsidRPr="004018DE">
        <w:rPr>
          <w:rFonts w:cstheme="minorHAnsi"/>
          <w:color w:val="000000" w:themeColor="text1"/>
        </w:rPr>
        <w:t>Federal Funding Accountability and Transparency Act (FFATA</w:t>
      </w:r>
      <w:proofErr w:type="gramStart"/>
      <w:r w:rsidRPr="004018DE">
        <w:rPr>
          <w:rFonts w:cstheme="minorHAnsi"/>
          <w:color w:val="000000" w:themeColor="text1"/>
        </w:rPr>
        <w:t>);</w:t>
      </w:r>
      <w:proofErr w:type="gramEnd"/>
    </w:p>
    <w:p w14:paraId="5E64CDEF" w14:textId="77777777" w:rsidR="004018DE" w:rsidRPr="004018DE" w:rsidRDefault="004018DE" w:rsidP="00AE1020">
      <w:pPr>
        <w:pStyle w:val="ListParagraph"/>
        <w:numPr>
          <w:ilvl w:val="0"/>
          <w:numId w:val="2"/>
        </w:numPr>
        <w:spacing w:before="60" w:after="240"/>
        <w:rPr>
          <w:rFonts w:cstheme="minorHAnsi"/>
          <w:color w:val="000000" w:themeColor="text1"/>
        </w:rPr>
      </w:pPr>
      <w:r w:rsidRPr="004018DE">
        <w:rPr>
          <w:rFonts w:cstheme="minorHAnsi"/>
          <w:color w:val="000000" w:themeColor="text1"/>
        </w:rPr>
        <w:t>Foundations for Evidence-Based Policymaking Act (Evidence Act</w:t>
      </w:r>
      <w:proofErr w:type="gramStart"/>
      <w:r w:rsidRPr="004018DE">
        <w:rPr>
          <w:rFonts w:cstheme="minorHAnsi"/>
          <w:color w:val="000000" w:themeColor="text1"/>
        </w:rPr>
        <w:t>);</w:t>
      </w:r>
      <w:proofErr w:type="gramEnd"/>
    </w:p>
    <w:p w14:paraId="5C3D3B57" w14:textId="77777777" w:rsidR="004018DE" w:rsidRPr="004018DE" w:rsidRDefault="004018DE" w:rsidP="00AE1020">
      <w:pPr>
        <w:pStyle w:val="ListParagraph"/>
        <w:numPr>
          <w:ilvl w:val="0"/>
          <w:numId w:val="2"/>
        </w:numPr>
        <w:spacing w:before="60" w:after="240"/>
        <w:rPr>
          <w:rFonts w:cstheme="minorHAnsi"/>
          <w:color w:val="000000" w:themeColor="text1"/>
        </w:rPr>
      </w:pPr>
      <w:proofErr w:type="gramStart"/>
      <w:r w:rsidRPr="004018DE">
        <w:rPr>
          <w:rFonts w:cstheme="minorHAnsi"/>
          <w:color w:val="000000" w:themeColor="text1"/>
        </w:rPr>
        <w:t>USAspending.gov;</w:t>
      </w:r>
      <w:proofErr w:type="gramEnd"/>
    </w:p>
    <w:p w14:paraId="341A5990" w14:textId="77777777" w:rsidR="004018DE" w:rsidRPr="004018DE" w:rsidRDefault="004018DE" w:rsidP="00AE1020">
      <w:pPr>
        <w:pStyle w:val="ListParagraph"/>
        <w:numPr>
          <w:ilvl w:val="0"/>
          <w:numId w:val="2"/>
        </w:numPr>
        <w:spacing w:before="60" w:after="360"/>
        <w:rPr>
          <w:rFonts w:cstheme="minorHAnsi"/>
          <w:color w:val="000000" w:themeColor="text1"/>
        </w:rPr>
      </w:pPr>
      <w:r w:rsidRPr="004018DE">
        <w:rPr>
          <w:rFonts w:cstheme="minorHAnsi"/>
          <w:color w:val="000000" w:themeColor="text1"/>
        </w:rPr>
        <w:t>Federal Funding Accountability and Transparency Subaward Reporting System (FSRS</w:t>
      </w:r>
      <w:proofErr w:type="gramStart"/>
      <w:r w:rsidRPr="004018DE">
        <w:rPr>
          <w:rFonts w:cstheme="minorHAnsi"/>
          <w:color w:val="000000" w:themeColor="text1"/>
        </w:rPr>
        <w:t>);</w:t>
      </w:r>
      <w:proofErr w:type="gramEnd"/>
    </w:p>
    <w:p w14:paraId="365DB826" w14:textId="5EA05534" w:rsidR="004018DE" w:rsidRPr="004018DE" w:rsidRDefault="004018DE" w:rsidP="00AE1020">
      <w:pPr>
        <w:pStyle w:val="ListParagraph"/>
        <w:numPr>
          <w:ilvl w:val="0"/>
          <w:numId w:val="2"/>
        </w:numPr>
        <w:spacing w:before="60" w:after="360"/>
        <w:rPr>
          <w:rFonts w:cstheme="minorHAnsi"/>
          <w:color w:val="000000" w:themeColor="text1"/>
        </w:rPr>
      </w:pPr>
      <w:proofErr w:type="spellStart"/>
      <w:r w:rsidRPr="004018DE">
        <w:rPr>
          <w:rFonts w:cstheme="minorHAnsi"/>
          <w:color w:val="000000" w:themeColor="text1"/>
        </w:rPr>
        <w:t>Nonprocurement</w:t>
      </w:r>
      <w:proofErr w:type="spellEnd"/>
      <w:r w:rsidRPr="004018DE">
        <w:rPr>
          <w:rFonts w:cstheme="minorHAnsi"/>
          <w:color w:val="000000" w:themeColor="text1"/>
        </w:rPr>
        <w:t xml:space="preserve"> Debarment &amp; Suspension, Part 3485</w:t>
      </w:r>
      <w:hyperlink w:anchor="_bookmark0" w:history="1">
        <w:r w:rsidRPr="004018DE">
          <w:rPr>
            <w:rStyle w:val="Hyperlink"/>
            <w:rFonts w:cstheme="minorHAnsi"/>
            <w:vertAlign w:val="superscript"/>
          </w:rPr>
          <w:t>1</w:t>
        </w:r>
      </w:hyperlink>
    </w:p>
    <w:p w14:paraId="6D291F6D" w14:textId="12033D29" w:rsidR="00D87220" w:rsidRPr="00304740" w:rsidRDefault="004018DE" w:rsidP="008C7B42">
      <w:pPr>
        <w:pStyle w:val="Heading1"/>
        <w:spacing w:before="120"/>
      </w:pPr>
      <w:r>
        <w:lastRenderedPageBreak/>
        <w:t>MONITORING SCOPE</w:t>
      </w:r>
    </w:p>
    <w:p w14:paraId="755BC60E" w14:textId="77777777" w:rsidR="004018DE" w:rsidRDefault="004018DE" w:rsidP="004018DE">
      <w:pPr>
        <w:spacing w:after="0"/>
        <w:rPr>
          <w:rFonts w:cstheme="minorHAnsi"/>
          <w:color w:val="000000" w:themeColor="text1"/>
        </w:rPr>
      </w:pPr>
      <w:r w:rsidRPr="004018DE">
        <w:rPr>
          <w:rFonts w:cstheme="minorHAnsi"/>
          <w:color w:val="000000" w:themeColor="text1"/>
        </w:rPr>
        <w:t>Monitoring will focus on fiscal monitoring policies and procedures, and their implementation, for the Federal fiscal year (FFY) identified in OSEP’s notification of monitoring. As appropriate, fiscal monitoring activities for the two prior years may also be reviewed and/or considered.</w:t>
      </w:r>
    </w:p>
    <w:p w14:paraId="4935E3F2" w14:textId="214E0844" w:rsidR="004018DE" w:rsidRPr="004018DE" w:rsidRDefault="004018DE" w:rsidP="004018DE">
      <w:pPr>
        <w:pStyle w:val="Heading1"/>
        <w:spacing w:before="120"/>
      </w:pPr>
      <w:r>
        <w:t>IMPLEMENTATION</w:t>
      </w:r>
    </w:p>
    <w:p w14:paraId="293835BA" w14:textId="77777777" w:rsidR="004018DE" w:rsidRPr="004018DE" w:rsidRDefault="004018DE" w:rsidP="004018DE">
      <w:pPr>
        <w:spacing w:after="0"/>
        <w:rPr>
          <w:rFonts w:cstheme="minorHAnsi"/>
          <w:color w:val="000000" w:themeColor="text1"/>
        </w:rPr>
      </w:pPr>
      <w:r w:rsidRPr="004018DE">
        <w:rPr>
          <w:rFonts w:cstheme="minorHAnsi"/>
          <w:color w:val="000000" w:themeColor="text1"/>
        </w:rPr>
        <w:t>This activity is part of the U.S. Department of Education’s Office of Special Education Programs (OSEP’s) system of Differentiated Monitoring and Support (DMS) to States with a focus on both compliance with Federal requirements that ensure the financial integrity of taxpayer dollars and on improving results for children with disabilities. Although the emphasis is on fiscal monitoring of subrecipients, OSEP recognizes that fiscal monitoring is sometimes conducted in conjunction with programmatic monitoring, and we are interested in discussing with States how these two aspects of subrecipient monitoring may be combined or related. The statutory and regulatory requirements only present what is minimally required. While the Uniform Guidance includes several specific requirements for subrecipient monitoring, it gives much discretion to States to design their own systems and optional suggestions for areas that could, but are not required to, be included. While a primary focus of this monitoring activity is to provide technical assistance, OSEP has a responsibility under section 616(a)(1) of the IDEA to monitor implementation of Part B of the IDEA through oversight of the exercise of general supervision by States and to enforce Part B of the IDEA. Therefore, if, during these monitoring activities, OSEP identifies any noncompliance, and the State does not demonstrate correction of the noncompliance before OSEP issues a finding, OSEP will notify the State in writing of the noncompliance and ensure the noncompliance is corrected as soon as possible, and in no case later than one year after OSEP’s identification of the noncompliance.</w:t>
      </w:r>
    </w:p>
    <w:p w14:paraId="5D66BDCA" w14:textId="77777777" w:rsidR="00050ACE" w:rsidRDefault="004018DE" w:rsidP="004018DE">
      <w:pPr>
        <w:spacing w:after="0"/>
        <w:rPr>
          <w:rFonts w:cstheme="minorHAnsi"/>
          <w:color w:val="000000" w:themeColor="text1"/>
        </w:rPr>
      </w:pPr>
      <w:r w:rsidRPr="004018DE">
        <w:rPr>
          <w:rFonts w:cstheme="minorHAnsi"/>
          <w:color w:val="000000" w:themeColor="text1"/>
        </w:rPr>
        <w:t>DMS encompasses multiple phases. During the phased monitoring activity, OSEP will engage with SEA staff around foundational questions about current fiscal monitoring procedures such as a general description of monitoring activities, drivers of specific monitoring activities, any joint monitoring with other offices responsible for Federal programs, how monitoring areas/topics are determined, and any planned revisions to subrecipient monitoring procedures. The questions included in this protocol will primarily be addressed during the Engagement phase of DMS</w:t>
      </w:r>
      <w:r w:rsidR="00050ACE">
        <w:rPr>
          <w:rFonts w:cstheme="minorHAnsi"/>
          <w:color w:val="000000" w:themeColor="text1"/>
        </w:rPr>
        <w:t>.</w:t>
      </w:r>
    </w:p>
    <w:p w14:paraId="6EFD47F3" w14:textId="43E6557A" w:rsidR="00624AD3" w:rsidRPr="00624AD3" w:rsidRDefault="00624AD3" w:rsidP="00624AD3">
      <w:pPr>
        <w:rPr>
          <w:rFonts w:cstheme="minorHAnsi"/>
        </w:rPr>
        <w:sectPr w:rsidR="00624AD3" w:rsidRPr="00624AD3" w:rsidSect="009418D8">
          <w:headerReference w:type="even" r:id="rId13"/>
          <w:headerReference w:type="default" r:id="rId14"/>
          <w:footerReference w:type="even" r:id="rId15"/>
          <w:footerReference w:type="default" r:id="rId16"/>
          <w:headerReference w:type="first" r:id="rId17"/>
          <w:footerReference w:type="first" r:id="rId18"/>
          <w:pgSz w:w="12240" w:h="15840" w:code="1"/>
          <w:pgMar w:top="738" w:right="720" w:bottom="1440" w:left="720" w:header="720" w:footer="720" w:gutter="0"/>
          <w:cols w:space="720"/>
          <w:titlePg/>
          <w:docGrid w:linePitch="360"/>
        </w:sectPr>
      </w:pPr>
    </w:p>
    <w:p w14:paraId="64125EB2" w14:textId="3C20D65C" w:rsidR="00D41D22" w:rsidRDefault="00D41D22" w:rsidP="009225D4">
      <w:pPr>
        <w:pStyle w:val="Heading1"/>
        <w:pBdr>
          <w:top w:val="single" w:sz="4" w:space="1" w:color="auto"/>
          <w:left w:val="single" w:sz="4" w:space="4" w:color="auto"/>
          <w:bottom w:val="single" w:sz="4" w:space="1" w:color="auto"/>
          <w:right w:val="single" w:sz="4" w:space="4" w:color="auto"/>
        </w:pBdr>
        <w:shd w:val="clear" w:color="auto" w:fill="D9E2F3" w:themeFill="accent1" w:themeFillTint="33"/>
        <w:spacing w:before="0"/>
        <w:ind w:left="90" w:right="90"/>
      </w:pPr>
      <w:r w:rsidRPr="00D41D22">
        <w:lastRenderedPageBreak/>
        <w:t>SUBRECIPIENT MONITORING REQUIREMENTS UNDER THE UNIFORM GUIDANCE</w:t>
      </w:r>
    </w:p>
    <w:p w14:paraId="4E9150CD" w14:textId="125241AE" w:rsidR="009225D4" w:rsidRPr="00BD6601" w:rsidRDefault="009225D4" w:rsidP="00692620">
      <w:pPr>
        <w:spacing w:before="40" w:after="480"/>
        <w:rPr>
          <w:b/>
          <w:bCs/>
          <w:sz w:val="24"/>
          <w:szCs w:val="24"/>
        </w:rPr>
      </w:pPr>
      <w:r w:rsidRPr="00BD6601">
        <w:rPr>
          <w:b/>
          <w:bCs/>
          <w:sz w:val="24"/>
          <w:szCs w:val="24"/>
        </w:rPr>
        <w:t>Overall Comments and Notes:</w:t>
      </w:r>
      <w:r w:rsidR="00DA7739" w:rsidRPr="00BD6601">
        <w:rPr>
          <w:b/>
          <w:bCs/>
          <w:sz w:val="24"/>
          <w:szCs w:val="24"/>
        </w:rPr>
        <w:t xml:space="preserve"> </w:t>
      </w:r>
    </w:p>
    <w:tbl>
      <w:tblPr>
        <w:tblStyle w:val="TableGrid"/>
        <w:tblW w:w="5000" w:type="pct"/>
        <w:tblLook w:val="04A0" w:firstRow="1" w:lastRow="0" w:firstColumn="1" w:lastColumn="0" w:noHBand="0" w:noVBand="1"/>
      </w:tblPr>
      <w:tblGrid>
        <w:gridCol w:w="4755"/>
        <w:gridCol w:w="1990"/>
        <w:gridCol w:w="2699"/>
        <w:gridCol w:w="2522"/>
        <w:gridCol w:w="1464"/>
      </w:tblGrid>
      <w:tr w:rsidR="006B58B9" w:rsidRPr="00BD6601" w14:paraId="403612B8" w14:textId="77777777" w:rsidTr="00692620">
        <w:trPr>
          <w:cantSplit/>
          <w:tblHeader/>
        </w:trPr>
        <w:tc>
          <w:tcPr>
            <w:tcW w:w="1770" w:type="pct"/>
            <w:shd w:val="clear" w:color="auto" w:fill="D9E2F3" w:themeFill="accent1" w:themeFillTint="33"/>
          </w:tcPr>
          <w:p w14:paraId="4A820C3B" w14:textId="077B21AF" w:rsidR="00C940F6" w:rsidRPr="00BD6601" w:rsidRDefault="00C940F6" w:rsidP="00BD6601">
            <w:pPr>
              <w:pStyle w:val="TABLEHEADERROW"/>
            </w:pPr>
            <w:r w:rsidRPr="00BD6601">
              <w:t>Subrecipient Monitoring Procedures</w:t>
            </w:r>
            <w:r w:rsidR="004E266C" w:rsidRPr="00BD6601">
              <w:t xml:space="preserve"> </w:t>
            </w:r>
            <w:r w:rsidR="004E266C" w:rsidRPr="00BD6601">
              <w:br/>
            </w:r>
            <w:r w:rsidRPr="00BD6601">
              <w:rPr>
                <w:b w:val="0"/>
                <w:bCs w:val="0"/>
              </w:rPr>
              <w:t>SEAs must:</w:t>
            </w:r>
          </w:p>
        </w:tc>
        <w:tc>
          <w:tcPr>
            <w:tcW w:w="741" w:type="pct"/>
            <w:shd w:val="clear" w:color="auto" w:fill="D9E2F3" w:themeFill="accent1" w:themeFillTint="33"/>
          </w:tcPr>
          <w:p w14:paraId="7A1C186F" w14:textId="77777777" w:rsidR="00C940F6" w:rsidRPr="00BD6601" w:rsidRDefault="00C940F6" w:rsidP="00BD6601">
            <w:pPr>
              <w:pStyle w:val="TABLEHEADERROW"/>
            </w:pPr>
            <w:r w:rsidRPr="00BD6601">
              <w:t>Staff Assigned</w:t>
            </w:r>
          </w:p>
        </w:tc>
        <w:tc>
          <w:tcPr>
            <w:tcW w:w="1005" w:type="pct"/>
            <w:shd w:val="clear" w:color="auto" w:fill="D9E2F3" w:themeFill="accent1" w:themeFillTint="33"/>
          </w:tcPr>
          <w:p w14:paraId="22E254D6" w14:textId="77777777" w:rsidR="00C940F6" w:rsidRPr="00BD6601" w:rsidRDefault="00C940F6" w:rsidP="00BD6601">
            <w:pPr>
              <w:pStyle w:val="TABLEHEADERROW"/>
            </w:pPr>
            <w:r w:rsidRPr="00BD6601">
              <w:t>Location of Materials</w:t>
            </w:r>
          </w:p>
        </w:tc>
        <w:tc>
          <w:tcPr>
            <w:tcW w:w="939" w:type="pct"/>
            <w:shd w:val="clear" w:color="auto" w:fill="D9E2F3" w:themeFill="accent1" w:themeFillTint="33"/>
          </w:tcPr>
          <w:p w14:paraId="5FDD489E" w14:textId="77777777" w:rsidR="00C940F6" w:rsidRPr="00BD6601" w:rsidRDefault="00C940F6" w:rsidP="00BD6601">
            <w:pPr>
              <w:pStyle w:val="TABLEHEADERROW"/>
            </w:pPr>
            <w:r w:rsidRPr="00BD6601">
              <w:t>Notes</w:t>
            </w:r>
          </w:p>
        </w:tc>
        <w:tc>
          <w:tcPr>
            <w:tcW w:w="545" w:type="pct"/>
            <w:shd w:val="clear" w:color="auto" w:fill="D9E2F3" w:themeFill="accent1" w:themeFillTint="33"/>
          </w:tcPr>
          <w:p w14:paraId="4737BC0D" w14:textId="77777777" w:rsidR="00C940F6" w:rsidRPr="00BD6601" w:rsidRDefault="00C940F6" w:rsidP="00BD6601">
            <w:pPr>
              <w:pStyle w:val="TABLEHEADERROW"/>
            </w:pPr>
            <w:r w:rsidRPr="00BD6601">
              <w:t>Complete</w:t>
            </w:r>
          </w:p>
        </w:tc>
      </w:tr>
      <w:tr w:rsidR="00692620" w:rsidRPr="00EA2310" w14:paraId="6ADA3276" w14:textId="77777777" w:rsidTr="00692620">
        <w:trPr>
          <w:cantSplit/>
        </w:trPr>
        <w:tc>
          <w:tcPr>
            <w:tcW w:w="1770" w:type="pct"/>
          </w:tcPr>
          <w:p w14:paraId="7578E812" w14:textId="7EB865A1" w:rsidR="00C940F6" w:rsidRPr="00BD6601" w:rsidRDefault="00C940F6" w:rsidP="00692620">
            <w:pPr>
              <w:pStyle w:val="TABLECATEGORYTEXT"/>
            </w:pPr>
            <w:r w:rsidRPr="00BD6601">
              <w:t>Ensure that every subaward includes certain detailed information as described in 2 C.F.R. § 200.332(a);</w:t>
            </w:r>
          </w:p>
        </w:tc>
        <w:tc>
          <w:tcPr>
            <w:tcW w:w="741" w:type="pct"/>
          </w:tcPr>
          <w:p w14:paraId="3A6BE277" w14:textId="77777777" w:rsidR="00C940F6" w:rsidRPr="00EA2310" w:rsidRDefault="00C940F6" w:rsidP="002D73A1">
            <w:pPr>
              <w:ind w:left="360"/>
              <w:rPr>
                <w:kern w:val="2"/>
              </w:rPr>
            </w:pPr>
          </w:p>
        </w:tc>
        <w:tc>
          <w:tcPr>
            <w:tcW w:w="1005" w:type="pct"/>
          </w:tcPr>
          <w:p w14:paraId="57DBC6AC" w14:textId="77777777" w:rsidR="00C940F6" w:rsidRPr="00EA2310" w:rsidRDefault="00C940F6" w:rsidP="002D73A1">
            <w:pPr>
              <w:ind w:left="360"/>
              <w:rPr>
                <w:kern w:val="2"/>
              </w:rPr>
            </w:pPr>
          </w:p>
        </w:tc>
        <w:tc>
          <w:tcPr>
            <w:tcW w:w="939" w:type="pct"/>
          </w:tcPr>
          <w:p w14:paraId="25618D5A" w14:textId="77777777" w:rsidR="00C940F6" w:rsidRPr="00EA2310" w:rsidRDefault="00C940F6" w:rsidP="002D73A1">
            <w:pPr>
              <w:ind w:left="360"/>
              <w:rPr>
                <w:kern w:val="2"/>
              </w:rPr>
            </w:pPr>
          </w:p>
        </w:tc>
        <w:tc>
          <w:tcPr>
            <w:tcW w:w="545" w:type="pct"/>
          </w:tcPr>
          <w:p w14:paraId="2A787982" w14:textId="77777777" w:rsidR="00C940F6" w:rsidRPr="00EA2310" w:rsidRDefault="00C940F6" w:rsidP="002D73A1">
            <w:pPr>
              <w:ind w:left="360"/>
              <w:rPr>
                <w:kern w:val="2"/>
              </w:rPr>
            </w:pPr>
          </w:p>
        </w:tc>
      </w:tr>
      <w:tr w:rsidR="00692620" w:rsidRPr="00EA2310" w14:paraId="123F7AA0" w14:textId="77777777" w:rsidTr="00692620">
        <w:trPr>
          <w:cantSplit/>
        </w:trPr>
        <w:tc>
          <w:tcPr>
            <w:tcW w:w="1770" w:type="pct"/>
          </w:tcPr>
          <w:p w14:paraId="4FCEC896" w14:textId="40AD34A3" w:rsidR="00C940F6" w:rsidRPr="00C940F6" w:rsidRDefault="00C940F6" w:rsidP="00692620">
            <w:pPr>
              <w:pStyle w:val="TABLECATEGORYTEXT"/>
            </w:pPr>
            <w:r w:rsidRPr="00C940F6">
              <w:t>Evaluate each subrecipient’s risk of noncompliance with Federal statutes, regulations, and the terms and conditions of the subaward for purposes of determining the appropriate subrecipient monitoring (2 C.F.R. § 200.332(b));</w:t>
            </w:r>
          </w:p>
        </w:tc>
        <w:tc>
          <w:tcPr>
            <w:tcW w:w="741" w:type="pct"/>
          </w:tcPr>
          <w:p w14:paraId="4AF1F5BD" w14:textId="77777777" w:rsidR="00C940F6" w:rsidRPr="00EA2310" w:rsidRDefault="00C940F6" w:rsidP="002D73A1">
            <w:pPr>
              <w:ind w:left="360"/>
              <w:rPr>
                <w:kern w:val="2"/>
              </w:rPr>
            </w:pPr>
          </w:p>
        </w:tc>
        <w:tc>
          <w:tcPr>
            <w:tcW w:w="1005" w:type="pct"/>
          </w:tcPr>
          <w:p w14:paraId="3F6D25EF" w14:textId="77777777" w:rsidR="00C940F6" w:rsidRPr="00EA2310" w:rsidRDefault="00C940F6" w:rsidP="002D73A1">
            <w:pPr>
              <w:ind w:left="360"/>
              <w:rPr>
                <w:kern w:val="2"/>
              </w:rPr>
            </w:pPr>
          </w:p>
        </w:tc>
        <w:tc>
          <w:tcPr>
            <w:tcW w:w="939" w:type="pct"/>
          </w:tcPr>
          <w:p w14:paraId="5955063C" w14:textId="77777777" w:rsidR="00C940F6" w:rsidRPr="00EA2310" w:rsidRDefault="00C940F6" w:rsidP="002D73A1">
            <w:pPr>
              <w:ind w:left="360"/>
              <w:rPr>
                <w:kern w:val="2"/>
              </w:rPr>
            </w:pPr>
          </w:p>
        </w:tc>
        <w:tc>
          <w:tcPr>
            <w:tcW w:w="545" w:type="pct"/>
          </w:tcPr>
          <w:p w14:paraId="2DDCFF6B" w14:textId="77777777" w:rsidR="00C940F6" w:rsidRPr="00EA2310" w:rsidRDefault="00C940F6" w:rsidP="002D73A1">
            <w:pPr>
              <w:ind w:left="360"/>
              <w:rPr>
                <w:kern w:val="2"/>
              </w:rPr>
            </w:pPr>
          </w:p>
        </w:tc>
      </w:tr>
      <w:tr w:rsidR="00692620" w:rsidRPr="00EA2310" w14:paraId="6839E028" w14:textId="77777777" w:rsidTr="00692620">
        <w:trPr>
          <w:cantSplit/>
        </w:trPr>
        <w:tc>
          <w:tcPr>
            <w:tcW w:w="1770" w:type="pct"/>
          </w:tcPr>
          <w:p w14:paraId="284FFBEE" w14:textId="4D608A74" w:rsidR="00C940F6" w:rsidRPr="00C940F6" w:rsidRDefault="00C940F6" w:rsidP="00692620">
            <w:pPr>
              <w:pStyle w:val="TABLECATEGORYTEXT"/>
            </w:pPr>
            <w:r w:rsidRPr="00C940F6">
              <w:t>Consider imposing specific subaward conditions upon a subrecipient if appropriate as described in 2 C.F.R. §§ 200.208 and 3474.10 (2 C.F.R. § 200.332(c));</w:t>
            </w:r>
          </w:p>
        </w:tc>
        <w:tc>
          <w:tcPr>
            <w:tcW w:w="741" w:type="pct"/>
          </w:tcPr>
          <w:p w14:paraId="1F80AEF5" w14:textId="77777777" w:rsidR="00C940F6" w:rsidRPr="00EA2310" w:rsidRDefault="00C940F6" w:rsidP="002D73A1">
            <w:pPr>
              <w:ind w:left="360"/>
              <w:rPr>
                <w:kern w:val="2"/>
              </w:rPr>
            </w:pPr>
          </w:p>
        </w:tc>
        <w:tc>
          <w:tcPr>
            <w:tcW w:w="1005" w:type="pct"/>
          </w:tcPr>
          <w:p w14:paraId="26C4AA26" w14:textId="77777777" w:rsidR="00C940F6" w:rsidRPr="00EA2310" w:rsidRDefault="00C940F6" w:rsidP="002D73A1">
            <w:pPr>
              <w:ind w:left="360"/>
              <w:rPr>
                <w:kern w:val="2"/>
              </w:rPr>
            </w:pPr>
          </w:p>
        </w:tc>
        <w:tc>
          <w:tcPr>
            <w:tcW w:w="939" w:type="pct"/>
          </w:tcPr>
          <w:p w14:paraId="61C02FAC" w14:textId="77777777" w:rsidR="00C940F6" w:rsidRPr="00EA2310" w:rsidRDefault="00C940F6" w:rsidP="002D73A1">
            <w:pPr>
              <w:ind w:left="360"/>
              <w:rPr>
                <w:kern w:val="2"/>
              </w:rPr>
            </w:pPr>
          </w:p>
        </w:tc>
        <w:tc>
          <w:tcPr>
            <w:tcW w:w="545" w:type="pct"/>
          </w:tcPr>
          <w:p w14:paraId="24F1B858" w14:textId="77777777" w:rsidR="00C940F6" w:rsidRPr="00EA2310" w:rsidRDefault="00C940F6" w:rsidP="002D73A1">
            <w:pPr>
              <w:ind w:left="360"/>
              <w:rPr>
                <w:kern w:val="2"/>
              </w:rPr>
            </w:pPr>
          </w:p>
        </w:tc>
      </w:tr>
      <w:tr w:rsidR="00692620" w:rsidRPr="00EA2310" w14:paraId="6E4195FE" w14:textId="77777777" w:rsidTr="00692620">
        <w:trPr>
          <w:cantSplit/>
        </w:trPr>
        <w:tc>
          <w:tcPr>
            <w:tcW w:w="1770" w:type="pct"/>
          </w:tcPr>
          <w:p w14:paraId="0F5956B8" w14:textId="2D77F6D9" w:rsidR="00C940F6" w:rsidRPr="00C940F6" w:rsidRDefault="00C940F6" w:rsidP="00692620">
            <w:pPr>
              <w:pStyle w:val="TABLECATEGORYTEXT"/>
            </w:pPr>
            <w:r w:rsidRPr="00C940F6">
              <w:t>Monitor the activities of the subrecipient as necessary to ensure that the subaward is used for authorized purposes, in compliance with Federal statutes, regulations, and the terms and conditions of the subaward; and that subaward performance goals are achieved (2 C.F.R. § 200.332(d));</w:t>
            </w:r>
          </w:p>
        </w:tc>
        <w:tc>
          <w:tcPr>
            <w:tcW w:w="741" w:type="pct"/>
          </w:tcPr>
          <w:p w14:paraId="716091CE" w14:textId="77777777" w:rsidR="00C940F6" w:rsidRPr="00EA2310" w:rsidRDefault="00C940F6" w:rsidP="002D73A1">
            <w:pPr>
              <w:ind w:left="360"/>
              <w:rPr>
                <w:kern w:val="2"/>
              </w:rPr>
            </w:pPr>
          </w:p>
        </w:tc>
        <w:tc>
          <w:tcPr>
            <w:tcW w:w="1005" w:type="pct"/>
          </w:tcPr>
          <w:p w14:paraId="20C6782F" w14:textId="77777777" w:rsidR="00C940F6" w:rsidRPr="00EA2310" w:rsidRDefault="00C940F6" w:rsidP="002D73A1">
            <w:pPr>
              <w:ind w:left="360"/>
              <w:rPr>
                <w:kern w:val="2"/>
              </w:rPr>
            </w:pPr>
          </w:p>
        </w:tc>
        <w:tc>
          <w:tcPr>
            <w:tcW w:w="939" w:type="pct"/>
          </w:tcPr>
          <w:p w14:paraId="78FD6FB9" w14:textId="77777777" w:rsidR="00C940F6" w:rsidRPr="00EA2310" w:rsidRDefault="00C940F6" w:rsidP="002D73A1">
            <w:pPr>
              <w:ind w:left="360"/>
              <w:rPr>
                <w:kern w:val="2"/>
              </w:rPr>
            </w:pPr>
          </w:p>
        </w:tc>
        <w:tc>
          <w:tcPr>
            <w:tcW w:w="545" w:type="pct"/>
          </w:tcPr>
          <w:p w14:paraId="2DB40571" w14:textId="77777777" w:rsidR="00C940F6" w:rsidRPr="00EA2310" w:rsidRDefault="00C940F6" w:rsidP="002D73A1">
            <w:pPr>
              <w:ind w:left="360"/>
              <w:rPr>
                <w:kern w:val="2"/>
              </w:rPr>
            </w:pPr>
          </w:p>
        </w:tc>
      </w:tr>
      <w:tr w:rsidR="00692620" w:rsidRPr="00EA2310" w14:paraId="6DC2F637" w14:textId="77777777" w:rsidTr="00692620">
        <w:trPr>
          <w:cantSplit/>
        </w:trPr>
        <w:tc>
          <w:tcPr>
            <w:tcW w:w="1770" w:type="pct"/>
          </w:tcPr>
          <w:p w14:paraId="65241839" w14:textId="250389A3" w:rsidR="00C940F6" w:rsidRPr="00C940F6" w:rsidRDefault="00C940F6" w:rsidP="00692620">
            <w:pPr>
              <w:pStyle w:val="TABLECATEGORYTEXT"/>
            </w:pPr>
            <w:r w:rsidRPr="004018DE">
              <w:lastRenderedPageBreak/>
              <w:t>Depending upon the assessment of risk posed by the subrecipient, consider monitoring activities ranging from technical assistance to on-site monitoring or conducting agreed-upon- procedures engagements (audits) (2 C.F.R. § 200.332(e));</w:t>
            </w:r>
          </w:p>
        </w:tc>
        <w:tc>
          <w:tcPr>
            <w:tcW w:w="741" w:type="pct"/>
          </w:tcPr>
          <w:p w14:paraId="34C232BA" w14:textId="77777777" w:rsidR="00C940F6" w:rsidRPr="00EA2310" w:rsidRDefault="00C940F6" w:rsidP="002D73A1">
            <w:pPr>
              <w:ind w:left="360"/>
              <w:rPr>
                <w:kern w:val="2"/>
              </w:rPr>
            </w:pPr>
          </w:p>
        </w:tc>
        <w:tc>
          <w:tcPr>
            <w:tcW w:w="1005" w:type="pct"/>
          </w:tcPr>
          <w:p w14:paraId="1920D241" w14:textId="77777777" w:rsidR="00C940F6" w:rsidRPr="00EA2310" w:rsidRDefault="00C940F6" w:rsidP="002D73A1">
            <w:pPr>
              <w:ind w:left="360"/>
              <w:rPr>
                <w:kern w:val="2"/>
              </w:rPr>
            </w:pPr>
          </w:p>
        </w:tc>
        <w:tc>
          <w:tcPr>
            <w:tcW w:w="939" w:type="pct"/>
          </w:tcPr>
          <w:p w14:paraId="1B2EC26F" w14:textId="77777777" w:rsidR="00C940F6" w:rsidRPr="00EA2310" w:rsidRDefault="00C940F6" w:rsidP="002D73A1">
            <w:pPr>
              <w:ind w:left="360"/>
              <w:rPr>
                <w:kern w:val="2"/>
              </w:rPr>
            </w:pPr>
          </w:p>
        </w:tc>
        <w:tc>
          <w:tcPr>
            <w:tcW w:w="545" w:type="pct"/>
          </w:tcPr>
          <w:p w14:paraId="6BE5E65A" w14:textId="77777777" w:rsidR="00C940F6" w:rsidRPr="00EA2310" w:rsidRDefault="00C940F6" w:rsidP="002D73A1">
            <w:pPr>
              <w:ind w:left="360"/>
              <w:rPr>
                <w:kern w:val="2"/>
              </w:rPr>
            </w:pPr>
          </w:p>
        </w:tc>
      </w:tr>
      <w:tr w:rsidR="00692620" w:rsidRPr="00EA2310" w14:paraId="6E31F84B" w14:textId="77777777" w:rsidTr="00692620">
        <w:trPr>
          <w:cantSplit/>
        </w:trPr>
        <w:tc>
          <w:tcPr>
            <w:tcW w:w="1770" w:type="pct"/>
          </w:tcPr>
          <w:p w14:paraId="6B6C8EFE" w14:textId="27C41C9A" w:rsidR="00C940F6" w:rsidRPr="00C940F6" w:rsidRDefault="00C940F6" w:rsidP="00692620">
            <w:pPr>
              <w:pStyle w:val="TABLECATEGORYTEXT"/>
            </w:pPr>
            <w:r w:rsidRPr="00C940F6">
              <w:t>Verify that every subrecipient is audited as required (2 C.F.R. § 200.332(f));</w:t>
            </w:r>
          </w:p>
        </w:tc>
        <w:tc>
          <w:tcPr>
            <w:tcW w:w="741" w:type="pct"/>
          </w:tcPr>
          <w:p w14:paraId="3EB69F95" w14:textId="77777777" w:rsidR="00C940F6" w:rsidRPr="00EA2310" w:rsidRDefault="00C940F6" w:rsidP="002D73A1">
            <w:pPr>
              <w:ind w:left="360"/>
              <w:rPr>
                <w:kern w:val="2"/>
              </w:rPr>
            </w:pPr>
          </w:p>
        </w:tc>
        <w:tc>
          <w:tcPr>
            <w:tcW w:w="1005" w:type="pct"/>
          </w:tcPr>
          <w:p w14:paraId="7F14F3F6" w14:textId="77777777" w:rsidR="00C940F6" w:rsidRPr="00EA2310" w:rsidRDefault="00C940F6" w:rsidP="00E63718">
            <w:pPr>
              <w:spacing w:after="40"/>
              <w:ind w:left="360"/>
              <w:rPr>
                <w:kern w:val="2"/>
              </w:rPr>
            </w:pPr>
          </w:p>
        </w:tc>
        <w:tc>
          <w:tcPr>
            <w:tcW w:w="939" w:type="pct"/>
          </w:tcPr>
          <w:p w14:paraId="61E02697" w14:textId="77777777" w:rsidR="00C940F6" w:rsidRPr="00EA2310" w:rsidRDefault="00C940F6" w:rsidP="002D73A1">
            <w:pPr>
              <w:ind w:left="360"/>
              <w:rPr>
                <w:kern w:val="2"/>
              </w:rPr>
            </w:pPr>
          </w:p>
        </w:tc>
        <w:tc>
          <w:tcPr>
            <w:tcW w:w="545" w:type="pct"/>
          </w:tcPr>
          <w:p w14:paraId="6F35635E" w14:textId="77777777" w:rsidR="00C940F6" w:rsidRPr="00EA2310" w:rsidRDefault="00C940F6" w:rsidP="002D73A1">
            <w:pPr>
              <w:ind w:left="360"/>
              <w:rPr>
                <w:kern w:val="2"/>
              </w:rPr>
            </w:pPr>
          </w:p>
        </w:tc>
      </w:tr>
      <w:tr w:rsidR="00692620" w:rsidRPr="00EA2310" w14:paraId="1B84BB99" w14:textId="77777777" w:rsidTr="00692620">
        <w:trPr>
          <w:cantSplit/>
        </w:trPr>
        <w:tc>
          <w:tcPr>
            <w:tcW w:w="1770" w:type="pct"/>
          </w:tcPr>
          <w:p w14:paraId="0E0F4BDC" w14:textId="458A2752" w:rsidR="00C940F6" w:rsidRPr="00C940F6" w:rsidRDefault="00C940F6" w:rsidP="00692620">
            <w:pPr>
              <w:pStyle w:val="TABLECATEGORYTEXT"/>
            </w:pPr>
            <w:r w:rsidRPr="00C940F6">
              <w:t>Conduct fiscal monitoring as part of the SEA’s general supervision responsibilities (34 C.F.R.§ 300.149);</w:t>
            </w:r>
          </w:p>
        </w:tc>
        <w:tc>
          <w:tcPr>
            <w:tcW w:w="741" w:type="pct"/>
          </w:tcPr>
          <w:p w14:paraId="7BDDFF13" w14:textId="77777777" w:rsidR="00C940F6" w:rsidRPr="00EA2310" w:rsidRDefault="00C940F6" w:rsidP="002D73A1">
            <w:pPr>
              <w:ind w:left="360"/>
              <w:rPr>
                <w:kern w:val="2"/>
              </w:rPr>
            </w:pPr>
          </w:p>
        </w:tc>
        <w:tc>
          <w:tcPr>
            <w:tcW w:w="1005" w:type="pct"/>
          </w:tcPr>
          <w:p w14:paraId="0E8F7909" w14:textId="77777777" w:rsidR="00C940F6" w:rsidRPr="00EA2310" w:rsidRDefault="00C940F6" w:rsidP="002D73A1">
            <w:pPr>
              <w:ind w:left="360"/>
              <w:rPr>
                <w:kern w:val="2"/>
              </w:rPr>
            </w:pPr>
          </w:p>
        </w:tc>
        <w:tc>
          <w:tcPr>
            <w:tcW w:w="939" w:type="pct"/>
          </w:tcPr>
          <w:p w14:paraId="31230EEF" w14:textId="77777777" w:rsidR="00C940F6" w:rsidRPr="00EA2310" w:rsidRDefault="00C940F6" w:rsidP="002D73A1">
            <w:pPr>
              <w:ind w:left="360"/>
              <w:rPr>
                <w:kern w:val="2"/>
              </w:rPr>
            </w:pPr>
          </w:p>
        </w:tc>
        <w:tc>
          <w:tcPr>
            <w:tcW w:w="545" w:type="pct"/>
          </w:tcPr>
          <w:p w14:paraId="2900B74D" w14:textId="77777777" w:rsidR="00C940F6" w:rsidRPr="00EA2310" w:rsidRDefault="00C940F6" w:rsidP="002D73A1">
            <w:pPr>
              <w:ind w:left="360"/>
              <w:rPr>
                <w:kern w:val="2"/>
              </w:rPr>
            </w:pPr>
          </w:p>
        </w:tc>
      </w:tr>
      <w:tr w:rsidR="00692620" w:rsidRPr="00EA2310" w14:paraId="5ACD01F6" w14:textId="77777777" w:rsidTr="00692620">
        <w:trPr>
          <w:cantSplit/>
        </w:trPr>
        <w:tc>
          <w:tcPr>
            <w:tcW w:w="1770" w:type="pct"/>
          </w:tcPr>
          <w:p w14:paraId="4E1DA004" w14:textId="1345F11C" w:rsidR="00C940F6" w:rsidRPr="00DE4D2F" w:rsidRDefault="00C940F6" w:rsidP="00692620">
            <w:pPr>
              <w:pStyle w:val="TABLECATEGORYTEXT"/>
            </w:pPr>
            <w:r w:rsidRPr="00DE4D2F">
              <w:t>Consider whether the results of the subrecipient’s audits, on-site reviews, or other monitoring indicate conditions that necessitate adjustments to the pass-through entity’s own records (2 C.F.R. § 200.332(g)); and</w:t>
            </w:r>
          </w:p>
        </w:tc>
        <w:tc>
          <w:tcPr>
            <w:tcW w:w="741" w:type="pct"/>
          </w:tcPr>
          <w:p w14:paraId="6190A593" w14:textId="77777777" w:rsidR="00C940F6" w:rsidRPr="00EA2310" w:rsidRDefault="00C940F6" w:rsidP="002D73A1">
            <w:pPr>
              <w:ind w:left="360"/>
              <w:rPr>
                <w:kern w:val="2"/>
              </w:rPr>
            </w:pPr>
          </w:p>
        </w:tc>
        <w:tc>
          <w:tcPr>
            <w:tcW w:w="1005" w:type="pct"/>
          </w:tcPr>
          <w:p w14:paraId="052CD65E" w14:textId="77777777" w:rsidR="00C940F6" w:rsidRPr="00EA2310" w:rsidRDefault="00C940F6" w:rsidP="002D73A1">
            <w:pPr>
              <w:ind w:left="360"/>
              <w:rPr>
                <w:kern w:val="2"/>
              </w:rPr>
            </w:pPr>
          </w:p>
        </w:tc>
        <w:tc>
          <w:tcPr>
            <w:tcW w:w="939" w:type="pct"/>
          </w:tcPr>
          <w:p w14:paraId="24287F16" w14:textId="77777777" w:rsidR="00C940F6" w:rsidRPr="00EA2310" w:rsidRDefault="00C940F6" w:rsidP="002D73A1">
            <w:pPr>
              <w:ind w:left="360"/>
              <w:rPr>
                <w:kern w:val="2"/>
              </w:rPr>
            </w:pPr>
          </w:p>
        </w:tc>
        <w:tc>
          <w:tcPr>
            <w:tcW w:w="545" w:type="pct"/>
          </w:tcPr>
          <w:p w14:paraId="40A0258A" w14:textId="77777777" w:rsidR="00C940F6" w:rsidRPr="00EA2310" w:rsidRDefault="00C940F6" w:rsidP="002D73A1">
            <w:pPr>
              <w:ind w:left="360"/>
              <w:rPr>
                <w:kern w:val="2"/>
              </w:rPr>
            </w:pPr>
          </w:p>
        </w:tc>
      </w:tr>
      <w:tr w:rsidR="00692620" w:rsidRPr="00EA2310" w14:paraId="3A016011" w14:textId="77777777" w:rsidTr="00692620">
        <w:trPr>
          <w:cantSplit/>
        </w:trPr>
        <w:tc>
          <w:tcPr>
            <w:tcW w:w="1770" w:type="pct"/>
          </w:tcPr>
          <w:p w14:paraId="1FFC8B13" w14:textId="3CE75601" w:rsidR="00C940F6" w:rsidRPr="00C940F6" w:rsidRDefault="00C940F6" w:rsidP="00692620">
            <w:pPr>
              <w:pStyle w:val="TABLECATEGORYTEXT"/>
            </w:pPr>
            <w:r w:rsidRPr="00C940F6">
              <w:t>Consider taking enforcement action against noncompliant subrecipients as described in 2</w:t>
            </w:r>
            <w:r>
              <w:t xml:space="preserve"> </w:t>
            </w:r>
            <w:r w:rsidRPr="00C940F6">
              <w:t>C.F.R. § 200.339 (2 C.F.R. § 200.332 (h)); and in program regulations at 34 C.F.R. § 300.604.</w:t>
            </w:r>
          </w:p>
        </w:tc>
        <w:tc>
          <w:tcPr>
            <w:tcW w:w="741" w:type="pct"/>
          </w:tcPr>
          <w:p w14:paraId="36702228" w14:textId="77777777" w:rsidR="00C940F6" w:rsidRPr="00EA2310" w:rsidRDefault="00C940F6" w:rsidP="002D73A1">
            <w:pPr>
              <w:ind w:left="360"/>
              <w:rPr>
                <w:kern w:val="2"/>
              </w:rPr>
            </w:pPr>
          </w:p>
        </w:tc>
        <w:tc>
          <w:tcPr>
            <w:tcW w:w="1005" w:type="pct"/>
          </w:tcPr>
          <w:p w14:paraId="06DB3299" w14:textId="77777777" w:rsidR="00C940F6" w:rsidRPr="00EA2310" w:rsidRDefault="00C940F6" w:rsidP="002D73A1">
            <w:pPr>
              <w:ind w:left="360"/>
              <w:rPr>
                <w:kern w:val="2"/>
              </w:rPr>
            </w:pPr>
          </w:p>
        </w:tc>
        <w:tc>
          <w:tcPr>
            <w:tcW w:w="939" w:type="pct"/>
          </w:tcPr>
          <w:p w14:paraId="2230D7CC" w14:textId="77777777" w:rsidR="00C940F6" w:rsidRPr="00EA2310" w:rsidRDefault="00C940F6" w:rsidP="002D73A1">
            <w:pPr>
              <w:ind w:left="360"/>
              <w:rPr>
                <w:kern w:val="2"/>
              </w:rPr>
            </w:pPr>
          </w:p>
        </w:tc>
        <w:tc>
          <w:tcPr>
            <w:tcW w:w="545" w:type="pct"/>
          </w:tcPr>
          <w:p w14:paraId="46D37A23" w14:textId="77777777" w:rsidR="00C940F6" w:rsidRPr="00EA2310" w:rsidRDefault="00C940F6" w:rsidP="002D73A1">
            <w:pPr>
              <w:ind w:left="360"/>
              <w:rPr>
                <w:kern w:val="2"/>
              </w:rPr>
            </w:pPr>
          </w:p>
        </w:tc>
      </w:tr>
    </w:tbl>
    <w:p w14:paraId="445C8042" w14:textId="424D58F4" w:rsidR="00C940F6" w:rsidRPr="009225D4" w:rsidRDefault="00C940F6" w:rsidP="006B58B9">
      <w:pPr>
        <w:spacing w:before="40"/>
        <w:rPr>
          <w:b/>
          <w:bCs/>
        </w:rPr>
      </w:pPr>
      <w:bookmarkStart w:id="2" w:name="_Hlk159329869"/>
      <w:r w:rsidRPr="009225D4">
        <w:rPr>
          <w:b/>
          <w:bCs/>
        </w:rPr>
        <w:t>Notes</w:t>
      </w:r>
      <w:r w:rsidR="009225D4" w:rsidRPr="009225D4">
        <w:rPr>
          <w:b/>
          <w:bCs/>
        </w:rPr>
        <w:t>:</w:t>
      </w:r>
    </w:p>
    <w:bookmarkEnd w:id="2"/>
    <w:p w14:paraId="696D6B97" w14:textId="6F9078CE" w:rsidR="00C940F6" w:rsidRDefault="00C940F6">
      <w:pPr>
        <w:spacing w:after="160" w:line="259" w:lineRule="auto"/>
        <w:rPr>
          <w:rFonts w:cstheme="minorHAnsi"/>
          <w:color w:val="000000" w:themeColor="text1"/>
        </w:rPr>
      </w:pPr>
      <w:r>
        <w:rPr>
          <w:rFonts w:cstheme="minorHAnsi"/>
          <w:color w:val="000000" w:themeColor="text1"/>
        </w:rPr>
        <w:br w:type="page"/>
      </w:r>
    </w:p>
    <w:p w14:paraId="1146C086" w14:textId="206E35E9" w:rsidR="006B58B9" w:rsidRDefault="006B58B9" w:rsidP="006B58B9">
      <w:pPr>
        <w:pStyle w:val="Heading1"/>
        <w:pBdr>
          <w:top w:val="single" w:sz="4" w:space="1" w:color="auto"/>
          <w:left w:val="single" w:sz="4" w:space="4" w:color="auto"/>
          <w:bottom w:val="single" w:sz="4" w:space="1" w:color="auto"/>
          <w:right w:val="single" w:sz="4" w:space="4" w:color="auto"/>
        </w:pBdr>
        <w:shd w:val="clear" w:color="auto" w:fill="D9E2F3" w:themeFill="accent1" w:themeFillTint="33"/>
        <w:spacing w:before="0"/>
        <w:ind w:left="90" w:right="90"/>
      </w:pPr>
      <w:r w:rsidRPr="006B58B9">
        <w:lastRenderedPageBreak/>
        <w:t>QUESTIONS ABOUT SEA’S CURRENT FISCAL MONITORING PROCEDURES</w:t>
      </w:r>
    </w:p>
    <w:p w14:paraId="625487DB" w14:textId="3D8020C4" w:rsidR="006B58B9" w:rsidRPr="009225D4" w:rsidRDefault="006B58B9" w:rsidP="00692620">
      <w:pPr>
        <w:spacing w:before="40" w:after="480"/>
        <w:rPr>
          <w:b/>
          <w:bCs/>
        </w:rPr>
      </w:pPr>
      <w:r w:rsidRPr="009225D4">
        <w:rPr>
          <w:b/>
          <w:bCs/>
        </w:rPr>
        <w:t>Overall Comments and Notes:</w:t>
      </w:r>
    </w:p>
    <w:tbl>
      <w:tblPr>
        <w:tblStyle w:val="TableGrid"/>
        <w:tblW w:w="5000" w:type="pct"/>
        <w:tblLook w:val="04A0" w:firstRow="1" w:lastRow="0" w:firstColumn="1" w:lastColumn="0" w:noHBand="0" w:noVBand="1"/>
      </w:tblPr>
      <w:tblGrid>
        <w:gridCol w:w="4755"/>
        <w:gridCol w:w="1990"/>
        <w:gridCol w:w="2699"/>
        <w:gridCol w:w="2522"/>
        <w:gridCol w:w="1464"/>
      </w:tblGrid>
      <w:tr w:rsidR="00692620" w:rsidRPr="00EA2310" w14:paraId="7CED00D9" w14:textId="77777777" w:rsidTr="00692620">
        <w:trPr>
          <w:tblHeader/>
        </w:trPr>
        <w:tc>
          <w:tcPr>
            <w:tcW w:w="1770" w:type="pct"/>
            <w:shd w:val="clear" w:color="auto" w:fill="D9E2F3" w:themeFill="accent1" w:themeFillTint="33"/>
          </w:tcPr>
          <w:p w14:paraId="79C271A0" w14:textId="25CB69D8" w:rsidR="001227DB" w:rsidRPr="00EA2310" w:rsidRDefault="007B0349" w:rsidP="00BD6601">
            <w:pPr>
              <w:pStyle w:val="TABLEHEADERROW"/>
              <w:rPr>
                <w:kern w:val="2"/>
              </w:rPr>
            </w:pPr>
            <w:r>
              <w:t>Fiscal Monitoring Procedures</w:t>
            </w:r>
          </w:p>
        </w:tc>
        <w:tc>
          <w:tcPr>
            <w:tcW w:w="741" w:type="pct"/>
            <w:shd w:val="clear" w:color="auto" w:fill="D9E2F3" w:themeFill="accent1" w:themeFillTint="33"/>
          </w:tcPr>
          <w:p w14:paraId="338DF220" w14:textId="77777777" w:rsidR="001227DB" w:rsidRPr="00EA2310" w:rsidRDefault="001227DB" w:rsidP="00BD6601">
            <w:pPr>
              <w:pStyle w:val="TABLEHEADERROW"/>
              <w:rPr>
                <w:kern w:val="2"/>
              </w:rPr>
            </w:pPr>
            <w:r w:rsidRPr="00EA2310">
              <w:t>Staff Assigned</w:t>
            </w:r>
          </w:p>
        </w:tc>
        <w:tc>
          <w:tcPr>
            <w:tcW w:w="1005" w:type="pct"/>
            <w:shd w:val="clear" w:color="auto" w:fill="D9E2F3" w:themeFill="accent1" w:themeFillTint="33"/>
          </w:tcPr>
          <w:p w14:paraId="678E77C9" w14:textId="77777777" w:rsidR="001227DB" w:rsidRPr="00EA2310" w:rsidRDefault="001227DB" w:rsidP="00BD6601">
            <w:pPr>
              <w:pStyle w:val="TABLEHEADERROW"/>
              <w:rPr>
                <w:kern w:val="2"/>
              </w:rPr>
            </w:pPr>
            <w:r w:rsidRPr="00EA2310">
              <w:t>Location of Materials</w:t>
            </w:r>
          </w:p>
        </w:tc>
        <w:tc>
          <w:tcPr>
            <w:tcW w:w="939" w:type="pct"/>
            <w:shd w:val="clear" w:color="auto" w:fill="D9E2F3" w:themeFill="accent1" w:themeFillTint="33"/>
          </w:tcPr>
          <w:p w14:paraId="5F9642C5" w14:textId="77777777" w:rsidR="001227DB" w:rsidRPr="00EA2310" w:rsidRDefault="001227DB" w:rsidP="00BD6601">
            <w:pPr>
              <w:pStyle w:val="TABLEHEADERROW"/>
              <w:rPr>
                <w:kern w:val="2"/>
              </w:rPr>
            </w:pPr>
            <w:r w:rsidRPr="00EA2310">
              <w:t>Notes</w:t>
            </w:r>
          </w:p>
        </w:tc>
        <w:tc>
          <w:tcPr>
            <w:tcW w:w="545" w:type="pct"/>
            <w:shd w:val="clear" w:color="auto" w:fill="D9E2F3" w:themeFill="accent1" w:themeFillTint="33"/>
          </w:tcPr>
          <w:p w14:paraId="228C56DC" w14:textId="77777777" w:rsidR="001227DB" w:rsidRPr="00EA2310" w:rsidRDefault="001227DB" w:rsidP="00BD6601">
            <w:pPr>
              <w:pStyle w:val="TABLEHEADERROW"/>
              <w:rPr>
                <w:kern w:val="2"/>
              </w:rPr>
            </w:pPr>
            <w:r w:rsidRPr="00EA2310">
              <w:t>Complete</w:t>
            </w:r>
          </w:p>
        </w:tc>
      </w:tr>
      <w:tr w:rsidR="001227DB" w:rsidRPr="00EA2310" w14:paraId="69967AEB" w14:textId="77777777" w:rsidTr="00692620">
        <w:tc>
          <w:tcPr>
            <w:tcW w:w="1770" w:type="pct"/>
          </w:tcPr>
          <w:p w14:paraId="2B467740" w14:textId="4CC3B986" w:rsidR="001227DB" w:rsidRPr="00050ACE" w:rsidRDefault="00050ACE" w:rsidP="00AE1020">
            <w:pPr>
              <w:pStyle w:val="TABLECATEGORYTEXT"/>
              <w:numPr>
                <w:ilvl w:val="0"/>
                <w:numId w:val="5"/>
              </w:numPr>
            </w:pPr>
            <w:r w:rsidRPr="00050ACE">
              <w:t>Describe any recent changes in monitoring procedures.</w:t>
            </w:r>
          </w:p>
        </w:tc>
        <w:tc>
          <w:tcPr>
            <w:tcW w:w="741" w:type="pct"/>
          </w:tcPr>
          <w:p w14:paraId="495993D0" w14:textId="77777777" w:rsidR="001227DB" w:rsidRPr="00EA2310" w:rsidRDefault="001227DB" w:rsidP="002D73A1">
            <w:pPr>
              <w:ind w:left="360"/>
              <w:rPr>
                <w:kern w:val="2"/>
              </w:rPr>
            </w:pPr>
          </w:p>
        </w:tc>
        <w:tc>
          <w:tcPr>
            <w:tcW w:w="1005" w:type="pct"/>
          </w:tcPr>
          <w:p w14:paraId="0C8869EF" w14:textId="77777777" w:rsidR="001227DB" w:rsidRPr="00EA2310" w:rsidRDefault="001227DB" w:rsidP="002D73A1">
            <w:pPr>
              <w:ind w:left="360"/>
              <w:rPr>
                <w:kern w:val="2"/>
              </w:rPr>
            </w:pPr>
          </w:p>
        </w:tc>
        <w:tc>
          <w:tcPr>
            <w:tcW w:w="939" w:type="pct"/>
          </w:tcPr>
          <w:p w14:paraId="6854A15B" w14:textId="77777777" w:rsidR="001227DB" w:rsidRPr="00EA2310" w:rsidRDefault="001227DB" w:rsidP="002D73A1">
            <w:pPr>
              <w:ind w:left="360"/>
              <w:rPr>
                <w:kern w:val="2"/>
              </w:rPr>
            </w:pPr>
          </w:p>
        </w:tc>
        <w:tc>
          <w:tcPr>
            <w:tcW w:w="545" w:type="pct"/>
          </w:tcPr>
          <w:p w14:paraId="11BF0E5B" w14:textId="77777777" w:rsidR="001227DB" w:rsidRPr="00EA2310" w:rsidRDefault="001227DB" w:rsidP="002D73A1">
            <w:pPr>
              <w:ind w:left="360"/>
              <w:rPr>
                <w:kern w:val="2"/>
              </w:rPr>
            </w:pPr>
          </w:p>
        </w:tc>
      </w:tr>
      <w:tr w:rsidR="001227DB" w:rsidRPr="00EA2310" w14:paraId="12700F49" w14:textId="77777777" w:rsidTr="00692620">
        <w:tc>
          <w:tcPr>
            <w:tcW w:w="1770" w:type="pct"/>
          </w:tcPr>
          <w:p w14:paraId="4CF67C9C" w14:textId="328B9EAB" w:rsidR="001227DB" w:rsidRPr="00050ACE" w:rsidRDefault="00050ACE" w:rsidP="00692620">
            <w:pPr>
              <w:pStyle w:val="TABLECATEGORYTEXT"/>
            </w:pPr>
            <w:r w:rsidRPr="00E57067">
              <w:t xml:space="preserve">Describe your risk assessment process and instrument </w:t>
            </w:r>
            <w:r w:rsidRPr="00692620">
              <w:t>and</w:t>
            </w:r>
            <w:r w:rsidRPr="00E57067">
              <w:t xml:space="preserve"> how its use has informed monitoring activities.</w:t>
            </w:r>
          </w:p>
        </w:tc>
        <w:tc>
          <w:tcPr>
            <w:tcW w:w="741" w:type="pct"/>
          </w:tcPr>
          <w:p w14:paraId="27175473" w14:textId="77777777" w:rsidR="001227DB" w:rsidRPr="00EA2310" w:rsidRDefault="001227DB" w:rsidP="002D73A1">
            <w:pPr>
              <w:ind w:left="360"/>
              <w:rPr>
                <w:kern w:val="2"/>
              </w:rPr>
            </w:pPr>
          </w:p>
        </w:tc>
        <w:tc>
          <w:tcPr>
            <w:tcW w:w="1005" w:type="pct"/>
          </w:tcPr>
          <w:p w14:paraId="450F8935" w14:textId="77777777" w:rsidR="001227DB" w:rsidRPr="00EA2310" w:rsidRDefault="001227DB" w:rsidP="002D73A1">
            <w:pPr>
              <w:ind w:left="360"/>
              <w:rPr>
                <w:kern w:val="2"/>
              </w:rPr>
            </w:pPr>
          </w:p>
        </w:tc>
        <w:tc>
          <w:tcPr>
            <w:tcW w:w="939" w:type="pct"/>
          </w:tcPr>
          <w:p w14:paraId="000F9066" w14:textId="77777777" w:rsidR="001227DB" w:rsidRPr="00EA2310" w:rsidRDefault="001227DB" w:rsidP="002D73A1">
            <w:pPr>
              <w:ind w:left="360"/>
              <w:rPr>
                <w:kern w:val="2"/>
              </w:rPr>
            </w:pPr>
          </w:p>
        </w:tc>
        <w:tc>
          <w:tcPr>
            <w:tcW w:w="545" w:type="pct"/>
          </w:tcPr>
          <w:p w14:paraId="702339DF" w14:textId="77777777" w:rsidR="001227DB" w:rsidRPr="00EA2310" w:rsidRDefault="001227DB" w:rsidP="002D73A1">
            <w:pPr>
              <w:ind w:left="360"/>
              <w:rPr>
                <w:kern w:val="2"/>
              </w:rPr>
            </w:pPr>
          </w:p>
        </w:tc>
      </w:tr>
      <w:tr w:rsidR="00050ACE" w:rsidRPr="00EA2310" w14:paraId="0090147E" w14:textId="77777777" w:rsidTr="00692620">
        <w:tc>
          <w:tcPr>
            <w:tcW w:w="1770" w:type="pct"/>
          </w:tcPr>
          <w:p w14:paraId="29AAE5BE" w14:textId="3E8A2215" w:rsidR="00050ACE" w:rsidRPr="00050ACE" w:rsidRDefault="00050ACE" w:rsidP="00692620">
            <w:pPr>
              <w:pStyle w:val="TABLECATEGORYTEXT"/>
            </w:pPr>
            <w:r w:rsidRPr="00E57067">
              <w:t>Which offices/positions are responsible for different aspects of monitoring?</w:t>
            </w:r>
          </w:p>
        </w:tc>
        <w:tc>
          <w:tcPr>
            <w:tcW w:w="741" w:type="pct"/>
          </w:tcPr>
          <w:p w14:paraId="1C3C67EB" w14:textId="77777777" w:rsidR="00050ACE" w:rsidRPr="00EA2310" w:rsidRDefault="00050ACE" w:rsidP="002D73A1">
            <w:pPr>
              <w:ind w:left="360"/>
              <w:rPr>
                <w:kern w:val="2"/>
              </w:rPr>
            </w:pPr>
          </w:p>
        </w:tc>
        <w:tc>
          <w:tcPr>
            <w:tcW w:w="1005" w:type="pct"/>
          </w:tcPr>
          <w:p w14:paraId="546B5732" w14:textId="77777777" w:rsidR="00050ACE" w:rsidRPr="00EA2310" w:rsidRDefault="00050ACE" w:rsidP="002D73A1">
            <w:pPr>
              <w:ind w:left="360"/>
              <w:rPr>
                <w:kern w:val="2"/>
              </w:rPr>
            </w:pPr>
          </w:p>
        </w:tc>
        <w:tc>
          <w:tcPr>
            <w:tcW w:w="939" w:type="pct"/>
          </w:tcPr>
          <w:p w14:paraId="34FCF52D" w14:textId="77777777" w:rsidR="00050ACE" w:rsidRPr="00EA2310" w:rsidRDefault="00050ACE" w:rsidP="002D73A1">
            <w:pPr>
              <w:ind w:left="360"/>
              <w:rPr>
                <w:kern w:val="2"/>
              </w:rPr>
            </w:pPr>
          </w:p>
        </w:tc>
        <w:tc>
          <w:tcPr>
            <w:tcW w:w="545" w:type="pct"/>
          </w:tcPr>
          <w:p w14:paraId="67569B48" w14:textId="77777777" w:rsidR="00050ACE" w:rsidRPr="00EA2310" w:rsidRDefault="00050ACE" w:rsidP="002D73A1">
            <w:pPr>
              <w:ind w:left="360"/>
              <w:rPr>
                <w:kern w:val="2"/>
              </w:rPr>
            </w:pPr>
          </w:p>
        </w:tc>
      </w:tr>
      <w:tr w:rsidR="00050ACE" w:rsidRPr="00EA2310" w14:paraId="1A70C36A" w14:textId="77777777" w:rsidTr="00692620">
        <w:tc>
          <w:tcPr>
            <w:tcW w:w="1770" w:type="pct"/>
          </w:tcPr>
          <w:p w14:paraId="7E2665AA" w14:textId="153ABF78" w:rsidR="00050ACE" w:rsidRPr="00050ACE" w:rsidRDefault="00050ACE" w:rsidP="00692620">
            <w:pPr>
              <w:pStyle w:val="TABLECATEGORYTEXT"/>
            </w:pPr>
            <w:r w:rsidRPr="00E57067">
              <w:t>What mechanisms do you use to conduct your monitoring (on-site, desk, virtual, self- assessment, combination)? How do you determine which mechanism to use for a particular LEA/topic?</w:t>
            </w:r>
          </w:p>
        </w:tc>
        <w:tc>
          <w:tcPr>
            <w:tcW w:w="741" w:type="pct"/>
          </w:tcPr>
          <w:p w14:paraId="22172365" w14:textId="77777777" w:rsidR="00050ACE" w:rsidRPr="00EA2310" w:rsidRDefault="00050ACE" w:rsidP="002D73A1">
            <w:pPr>
              <w:ind w:left="360"/>
              <w:rPr>
                <w:kern w:val="2"/>
              </w:rPr>
            </w:pPr>
          </w:p>
        </w:tc>
        <w:tc>
          <w:tcPr>
            <w:tcW w:w="1005" w:type="pct"/>
          </w:tcPr>
          <w:p w14:paraId="6CB59E40" w14:textId="77777777" w:rsidR="00050ACE" w:rsidRPr="00EA2310" w:rsidRDefault="00050ACE" w:rsidP="002D73A1">
            <w:pPr>
              <w:ind w:left="360"/>
              <w:rPr>
                <w:kern w:val="2"/>
              </w:rPr>
            </w:pPr>
          </w:p>
        </w:tc>
        <w:tc>
          <w:tcPr>
            <w:tcW w:w="939" w:type="pct"/>
          </w:tcPr>
          <w:p w14:paraId="0E84DECF" w14:textId="77777777" w:rsidR="00050ACE" w:rsidRPr="00EA2310" w:rsidRDefault="00050ACE" w:rsidP="002D73A1">
            <w:pPr>
              <w:ind w:left="360"/>
              <w:rPr>
                <w:kern w:val="2"/>
              </w:rPr>
            </w:pPr>
          </w:p>
        </w:tc>
        <w:tc>
          <w:tcPr>
            <w:tcW w:w="545" w:type="pct"/>
          </w:tcPr>
          <w:p w14:paraId="1A6471DC" w14:textId="77777777" w:rsidR="00050ACE" w:rsidRPr="00EA2310" w:rsidRDefault="00050ACE" w:rsidP="002D73A1">
            <w:pPr>
              <w:ind w:left="360"/>
              <w:rPr>
                <w:kern w:val="2"/>
              </w:rPr>
            </w:pPr>
          </w:p>
        </w:tc>
      </w:tr>
      <w:tr w:rsidR="00050ACE" w:rsidRPr="00EA2310" w14:paraId="26699E4C" w14:textId="77777777" w:rsidTr="00692620">
        <w:tc>
          <w:tcPr>
            <w:tcW w:w="1770" w:type="pct"/>
          </w:tcPr>
          <w:p w14:paraId="35B2C4CB" w14:textId="1D12495A" w:rsidR="00050ACE" w:rsidRPr="00050ACE" w:rsidRDefault="00050ACE" w:rsidP="00692620">
            <w:pPr>
              <w:pStyle w:val="TABLECATEGORYTEXT"/>
            </w:pPr>
            <w:r w:rsidRPr="00E57067">
              <w:t>Do you consider performance as part of your monitoring? If so, how?</w:t>
            </w:r>
          </w:p>
        </w:tc>
        <w:tc>
          <w:tcPr>
            <w:tcW w:w="741" w:type="pct"/>
          </w:tcPr>
          <w:p w14:paraId="26346A27" w14:textId="77777777" w:rsidR="00050ACE" w:rsidRPr="00EA2310" w:rsidRDefault="00050ACE" w:rsidP="002D73A1">
            <w:pPr>
              <w:ind w:left="360"/>
              <w:rPr>
                <w:kern w:val="2"/>
              </w:rPr>
            </w:pPr>
          </w:p>
        </w:tc>
        <w:tc>
          <w:tcPr>
            <w:tcW w:w="1005" w:type="pct"/>
          </w:tcPr>
          <w:p w14:paraId="43D91BCE" w14:textId="77777777" w:rsidR="00050ACE" w:rsidRPr="00EA2310" w:rsidRDefault="00050ACE" w:rsidP="002D73A1">
            <w:pPr>
              <w:ind w:left="360"/>
              <w:rPr>
                <w:kern w:val="2"/>
              </w:rPr>
            </w:pPr>
          </w:p>
        </w:tc>
        <w:tc>
          <w:tcPr>
            <w:tcW w:w="939" w:type="pct"/>
          </w:tcPr>
          <w:p w14:paraId="7B0C8C2B" w14:textId="77777777" w:rsidR="00050ACE" w:rsidRPr="00EA2310" w:rsidRDefault="00050ACE" w:rsidP="002D73A1">
            <w:pPr>
              <w:ind w:left="360"/>
              <w:rPr>
                <w:kern w:val="2"/>
              </w:rPr>
            </w:pPr>
          </w:p>
        </w:tc>
        <w:tc>
          <w:tcPr>
            <w:tcW w:w="545" w:type="pct"/>
          </w:tcPr>
          <w:p w14:paraId="2B6A41C3" w14:textId="77777777" w:rsidR="00050ACE" w:rsidRPr="00EA2310" w:rsidRDefault="00050ACE" w:rsidP="002D73A1">
            <w:pPr>
              <w:ind w:left="360"/>
              <w:rPr>
                <w:kern w:val="2"/>
              </w:rPr>
            </w:pPr>
          </w:p>
        </w:tc>
      </w:tr>
      <w:tr w:rsidR="00050ACE" w:rsidRPr="00EA2310" w14:paraId="7DAE2780" w14:textId="77777777" w:rsidTr="00692620">
        <w:tc>
          <w:tcPr>
            <w:tcW w:w="1770" w:type="pct"/>
          </w:tcPr>
          <w:p w14:paraId="6270FE0A" w14:textId="4280BD4B" w:rsidR="00050ACE" w:rsidRPr="00050ACE" w:rsidRDefault="00050ACE" w:rsidP="00692620">
            <w:pPr>
              <w:pStyle w:val="TABLECATEGORYTEXT"/>
            </w:pPr>
            <w:r w:rsidRPr="00E57067">
              <w:t>What role does technical assistance have in your subrecipient monitoring?</w:t>
            </w:r>
          </w:p>
        </w:tc>
        <w:tc>
          <w:tcPr>
            <w:tcW w:w="741" w:type="pct"/>
          </w:tcPr>
          <w:p w14:paraId="23CEA252" w14:textId="77777777" w:rsidR="00050ACE" w:rsidRPr="00EA2310" w:rsidRDefault="00050ACE" w:rsidP="002D73A1">
            <w:pPr>
              <w:ind w:left="360"/>
              <w:rPr>
                <w:kern w:val="2"/>
              </w:rPr>
            </w:pPr>
          </w:p>
        </w:tc>
        <w:tc>
          <w:tcPr>
            <w:tcW w:w="1005" w:type="pct"/>
          </w:tcPr>
          <w:p w14:paraId="4935F1B7" w14:textId="77777777" w:rsidR="00050ACE" w:rsidRPr="00EA2310" w:rsidRDefault="00050ACE" w:rsidP="002D73A1">
            <w:pPr>
              <w:ind w:left="360"/>
              <w:rPr>
                <w:kern w:val="2"/>
              </w:rPr>
            </w:pPr>
          </w:p>
        </w:tc>
        <w:tc>
          <w:tcPr>
            <w:tcW w:w="939" w:type="pct"/>
          </w:tcPr>
          <w:p w14:paraId="3586CFB9" w14:textId="77777777" w:rsidR="00050ACE" w:rsidRPr="00EA2310" w:rsidRDefault="00050ACE" w:rsidP="002D73A1">
            <w:pPr>
              <w:ind w:left="360"/>
              <w:rPr>
                <w:kern w:val="2"/>
              </w:rPr>
            </w:pPr>
          </w:p>
        </w:tc>
        <w:tc>
          <w:tcPr>
            <w:tcW w:w="545" w:type="pct"/>
          </w:tcPr>
          <w:p w14:paraId="0FDBC8AC" w14:textId="77777777" w:rsidR="00050ACE" w:rsidRPr="00EA2310" w:rsidRDefault="00050ACE" w:rsidP="002D73A1">
            <w:pPr>
              <w:ind w:left="360"/>
              <w:rPr>
                <w:kern w:val="2"/>
              </w:rPr>
            </w:pPr>
          </w:p>
        </w:tc>
      </w:tr>
      <w:tr w:rsidR="00050ACE" w:rsidRPr="00EA2310" w14:paraId="52B4E71F" w14:textId="77777777" w:rsidTr="00692620">
        <w:tc>
          <w:tcPr>
            <w:tcW w:w="1770" w:type="pct"/>
          </w:tcPr>
          <w:p w14:paraId="739DC266" w14:textId="72A36CA0" w:rsidR="00050ACE" w:rsidRPr="00050ACE" w:rsidRDefault="00050ACE" w:rsidP="00692620">
            <w:pPr>
              <w:pStyle w:val="TABLECATEGORYTEXT"/>
            </w:pPr>
            <w:r w:rsidRPr="00E57067">
              <w:t>How are the results of Single Audits considered as part of your monitoring process?</w:t>
            </w:r>
          </w:p>
        </w:tc>
        <w:tc>
          <w:tcPr>
            <w:tcW w:w="741" w:type="pct"/>
          </w:tcPr>
          <w:p w14:paraId="0637C31C" w14:textId="77777777" w:rsidR="00050ACE" w:rsidRPr="00EA2310" w:rsidRDefault="00050ACE" w:rsidP="002D73A1">
            <w:pPr>
              <w:ind w:left="360"/>
              <w:rPr>
                <w:kern w:val="2"/>
              </w:rPr>
            </w:pPr>
          </w:p>
        </w:tc>
        <w:tc>
          <w:tcPr>
            <w:tcW w:w="1005" w:type="pct"/>
          </w:tcPr>
          <w:p w14:paraId="2444CCFC" w14:textId="77777777" w:rsidR="00050ACE" w:rsidRPr="00EA2310" w:rsidRDefault="00050ACE" w:rsidP="002D73A1">
            <w:pPr>
              <w:ind w:left="360"/>
              <w:rPr>
                <w:kern w:val="2"/>
              </w:rPr>
            </w:pPr>
          </w:p>
        </w:tc>
        <w:tc>
          <w:tcPr>
            <w:tcW w:w="939" w:type="pct"/>
          </w:tcPr>
          <w:p w14:paraId="7E78A1C8" w14:textId="77777777" w:rsidR="00050ACE" w:rsidRPr="00EA2310" w:rsidRDefault="00050ACE" w:rsidP="002D73A1">
            <w:pPr>
              <w:ind w:left="360"/>
              <w:rPr>
                <w:kern w:val="2"/>
              </w:rPr>
            </w:pPr>
          </w:p>
        </w:tc>
        <w:tc>
          <w:tcPr>
            <w:tcW w:w="545" w:type="pct"/>
          </w:tcPr>
          <w:p w14:paraId="74E3655F" w14:textId="77777777" w:rsidR="00050ACE" w:rsidRPr="00EA2310" w:rsidRDefault="00050ACE" w:rsidP="002D73A1">
            <w:pPr>
              <w:ind w:left="360"/>
              <w:rPr>
                <w:kern w:val="2"/>
              </w:rPr>
            </w:pPr>
          </w:p>
        </w:tc>
      </w:tr>
      <w:tr w:rsidR="00050ACE" w:rsidRPr="00EA2310" w14:paraId="5EAFAFAC" w14:textId="77777777" w:rsidTr="00692620">
        <w:tc>
          <w:tcPr>
            <w:tcW w:w="1770" w:type="pct"/>
          </w:tcPr>
          <w:p w14:paraId="3BDAB8B7" w14:textId="56FEE877" w:rsidR="00050ACE" w:rsidRPr="00050ACE" w:rsidRDefault="00050ACE" w:rsidP="00692620">
            <w:pPr>
              <w:pStyle w:val="TABLECATEGORYTEXT"/>
            </w:pPr>
            <w:r w:rsidRPr="00E57067">
              <w:t>Describe the range of enforcement actions considered/taken in response to noncompliance and/or low performance, and how you select the appropriate action(s).</w:t>
            </w:r>
          </w:p>
        </w:tc>
        <w:tc>
          <w:tcPr>
            <w:tcW w:w="741" w:type="pct"/>
          </w:tcPr>
          <w:p w14:paraId="50ED1494" w14:textId="77777777" w:rsidR="00050ACE" w:rsidRPr="00EA2310" w:rsidRDefault="00050ACE" w:rsidP="002D73A1">
            <w:pPr>
              <w:ind w:left="360"/>
              <w:rPr>
                <w:kern w:val="2"/>
              </w:rPr>
            </w:pPr>
          </w:p>
        </w:tc>
        <w:tc>
          <w:tcPr>
            <w:tcW w:w="1005" w:type="pct"/>
          </w:tcPr>
          <w:p w14:paraId="323B5246" w14:textId="77777777" w:rsidR="00050ACE" w:rsidRPr="00EA2310" w:rsidRDefault="00050ACE" w:rsidP="002D73A1">
            <w:pPr>
              <w:ind w:left="360"/>
              <w:rPr>
                <w:kern w:val="2"/>
              </w:rPr>
            </w:pPr>
          </w:p>
        </w:tc>
        <w:tc>
          <w:tcPr>
            <w:tcW w:w="939" w:type="pct"/>
          </w:tcPr>
          <w:p w14:paraId="28D01F79" w14:textId="77777777" w:rsidR="00050ACE" w:rsidRPr="00EA2310" w:rsidRDefault="00050ACE" w:rsidP="002D73A1">
            <w:pPr>
              <w:ind w:left="360"/>
              <w:rPr>
                <w:kern w:val="2"/>
              </w:rPr>
            </w:pPr>
          </w:p>
        </w:tc>
        <w:tc>
          <w:tcPr>
            <w:tcW w:w="545" w:type="pct"/>
          </w:tcPr>
          <w:p w14:paraId="535428D7" w14:textId="77777777" w:rsidR="00050ACE" w:rsidRPr="00EA2310" w:rsidRDefault="00050ACE" w:rsidP="002D73A1">
            <w:pPr>
              <w:ind w:left="360"/>
              <w:rPr>
                <w:kern w:val="2"/>
              </w:rPr>
            </w:pPr>
          </w:p>
        </w:tc>
      </w:tr>
    </w:tbl>
    <w:p w14:paraId="1FBAC1D0" w14:textId="4AE66429" w:rsidR="00050ACE" w:rsidRDefault="00050ACE" w:rsidP="006B58B9">
      <w:pPr>
        <w:spacing w:before="40"/>
        <w:rPr>
          <w:b/>
          <w:bCs/>
        </w:rPr>
      </w:pPr>
      <w:r w:rsidRPr="006B58B9">
        <w:rPr>
          <w:b/>
          <w:bCs/>
        </w:rPr>
        <w:t>Notes</w:t>
      </w:r>
      <w:r w:rsidR="006B58B9">
        <w:rPr>
          <w:b/>
          <w:bCs/>
        </w:rPr>
        <w:t>:</w:t>
      </w:r>
    </w:p>
    <w:p w14:paraId="6EFA8CA6" w14:textId="1CF2AE7F" w:rsidR="00E63718" w:rsidRPr="006B58B9" w:rsidRDefault="00E63718" w:rsidP="00E63718">
      <w:pPr>
        <w:spacing w:after="160" w:line="259" w:lineRule="auto"/>
        <w:rPr>
          <w:b/>
          <w:bCs/>
        </w:rPr>
      </w:pPr>
      <w:r>
        <w:rPr>
          <w:b/>
          <w:bCs/>
        </w:rPr>
        <w:br w:type="page"/>
      </w:r>
    </w:p>
    <w:p w14:paraId="55F21CB7" w14:textId="7BAB704E" w:rsidR="00082867" w:rsidRDefault="00082867" w:rsidP="00082867">
      <w:pPr>
        <w:pStyle w:val="Heading1"/>
        <w:pBdr>
          <w:top w:val="single" w:sz="4" w:space="1" w:color="auto"/>
          <w:left w:val="single" w:sz="4" w:space="4" w:color="auto"/>
          <w:bottom w:val="single" w:sz="4" w:space="1" w:color="auto"/>
          <w:right w:val="single" w:sz="4" w:space="4" w:color="auto"/>
        </w:pBdr>
        <w:shd w:val="clear" w:color="auto" w:fill="D9E2F3" w:themeFill="accent1" w:themeFillTint="33"/>
        <w:spacing w:before="0"/>
        <w:ind w:left="90" w:right="90"/>
      </w:pPr>
      <w:r w:rsidRPr="00082867">
        <w:lastRenderedPageBreak/>
        <w:t>QUESTIONS ABOUT SINGLE AUDIT RESPONSIBILITIES</w:t>
      </w:r>
    </w:p>
    <w:p w14:paraId="444471CC" w14:textId="77777777" w:rsidR="00082867" w:rsidRPr="009225D4" w:rsidRDefault="00082867" w:rsidP="00692620">
      <w:pPr>
        <w:spacing w:before="40" w:after="480"/>
        <w:rPr>
          <w:b/>
          <w:bCs/>
        </w:rPr>
      </w:pPr>
      <w:r w:rsidRPr="009225D4">
        <w:rPr>
          <w:b/>
          <w:bCs/>
        </w:rPr>
        <w:t>Overall Comments and Notes:</w:t>
      </w:r>
    </w:p>
    <w:tbl>
      <w:tblPr>
        <w:tblStyle w:val="TableGrid"/>
        <w:tblW w:w="5000" w:type="pct"/>
        <w:tblLook w:val="04A0" w:firstRow="1" w:lastRow="0" w:firstColumn="1" w:lastColumn="0" w:noHBand="0" w:noVBand="1"/>
      </w:tblPr>
      <w:tblGrid>
        <w:gridCol w:w="4755"/>
        <w:gridCol w:w="1990"/>
        <w:gridCol w:w="2699"/>
        <w:gridCol w:w="2522"/>
        <w:gridCol w:w="1464"/>
      </w:tblGrid>
      <w:tr w:rsidR="00692620" w:rsidRPr="008D4EE6" w14:paraId="76E678E8" w14:textId="77777777" w:rsidTr="00692620">
        <w:trPr>
          <w:tblHeader/>
        </w:trPr>
        <w:tc>
          <w:tcPr>
            <w:tcW w:w="1770" w:type="pct"/>
            <w:shd w:val="clear" w:color="auto" w:fill="D9E2F3" w:themeFill="accent1" w:themeFillTint="33"/>
          </w:tcPr>
          <w:p w14:paraId="10862CFE" w14:textId="38C9FA9F" w:rsidR="00050ACE" w:rsidRPr="008D4EE6" w:rsidRDefault="007B0349" w:rsidP="00BD6601">
            <w:pPr>
              <w:pStyle w:val="TABLEHEADERROW"/>
            </w:pPr>
            <w:r w:rsidRPr="008D4EE6">
              <w:t>Audit Responsibilities</w:t>
            </w:r>
          </w:p>
        </w:tc>
        <w:tc>
          <w:tcPr>
            <w:tcW w:w="741" w:type="pct"/>
            <w:shd w:val="clear" w:color="auto" w:fill="D9E2F3" w:themeFill="accent1" w:themeFillTint="33"/>
          </w:tcPr>
          <w:p w14:paraId="0678D2EF" w14:textId="77777777" w:rsidR="00050ACE" w:rsidRPr="008D4EE6" w:rsidRDefault="00050ACE" w:rsidP="00BD6601">
            <w:pPr>
              <w:pStyle w:val="TABLEHEADERROW"/>
            </w:pPr>
            <w:r w:rsidRPr="008D4EE6">
              <w:t>Staff Assigned</w:t>
            </w:r>
          </w:p>
        </w:tc>
        <w:tc>
          <w:tcPr>
            <w:tcW w:w="1005" w:type="pct"/>
            <w:shd w:val="clear" w:color="auto" w:fill="D9E2F3" w:themeFill="accent1" w:themeFillTint="33"/>
          </w:tcPr>
          <w:p w14:paraId="6440D950" w14:textId="77777777" w:rsidR="00050ACE" w:rsidRPr="008D4EE6" w:rsidRDefault="00050ACE" w:rsidP="00BD6601">
            <w:pPr>
              <w:pStyle w:val="TABLEHEADERROW"/>
            </w:pPr>
            <w:r w:rsidRPr="008D4EE6">
              <w:t>Location of Materials</w:t>
            </w:r>
          </w:p>
        </w:tc>
        <w:tc>
          <w:tcPr>
            <w:tcW w:w="939" w:type="pct"/>
            <w:shd w:val="clear" w:color="auto" w:fill="D9E2F3" w:themeFill="accent1" w:themeFillTint="33"/>
          </w:tcPr>
          <w:p w14:paraId="26DDBEA3" w14:textId="77777777" w:rsidR="00050ACE" w:rsidRPr="008D4EE6" w:rsidRDefault="00050ACE" w:rsidP="00BD6601">
            <w:pPr>
              <w:pStyle w:val="TABLEHEADERROW"/>
            </w:pPr>
            <w:r w:rsidRPr="008D4EE6">
              <w:t>Notes</w:t>
            </w:r>
          </w:p>
        </w:tc>
        <w:tc>
          <w:tcPr>
            <w:tcW w:w="545" w:type="pct"/>
            <w:shd w:val="clear" w:color="auto" w:fill="D9E2F3" w:themeFill="accent1" w:themeFillTint="33"/>
          </w:tcPr>
          <w:p w14:paraId="23E72E43" w14:textId="77777777" w:rsidR="00050ACE" w:rsidRPr="008D4EE6" w:rsidRDefault="00050ACE" w:rsidP="00BD6601">
            <w:pPr>
              <w:pStyle w:val="TABLEHEADERROW"/>
            </w:pPr>
            <w:r w:rsidRPr="008D4EE6">
              <w:t>Complete</w:t>
            </w:r>
          </w:p>
        </w:tc>
      </w:tr>
      <w:tr w:rsidR="00050ACE" w:rsidRPr="00EA2310" w14:paraId="3B38DD55" w14:textId="77777777" w:rsidTr="00692620">
        <w:tc>
          <w:tcPr>
            <w:tcW w:w="1770" w:type="pct"/>
          </w:tcPr>
          <w:p w14:paraId="02B961CF" w14:textId="580D1D1C" w:rsidR="00050ACE" w:rsidRPr="00DF00E0" w:rsidRDefault="00050ACE" w:rsidP="00AE1020">
            <w:pPr>
              <w:pStyle w:val="TABLECATEGORYTEXT"/>
              <w:numPr>
                <w:ilvl w:val="0"/>
                <w:numId w:val="6"/>
              </w:numPr>
            </w:pPr>
            <w:r w:rsidRPr="00DF00E0">
              <w:t>How do you verify that every subrecipient is audited as required? What offices have a role?</w:t>
            </w:r>
          </w:p>
        </w:tc>
        <w:tc>
          <w:tcPr>
            <w:tcW w:w="741" w:type="pct"/>
          </w:tcPr>
          <w:p w14:paraId="1CE9E9B0" w14:textId="77777777" w:rsidR="00050ACE" w:rsidRPr="00EA2310" w:rsidRDefault="00050ACE" w:rsidP="00050ACE">
            <w:pPr>
              <w:ind w:left="360"/>
              <w:rPr>
                <w:kern w:val="2"/>
              </w:rPr>
            </w:pPr>
          </w:p>
        </w:tc>
        <w:tc>
          <w:tcPr>
            <w:tcW w:w="1005" w:type="pct"/>
          </w:tcPr>
          <w:p w14:paraId="54B6D437" w14:textId="77777777" w:rsidR="00050ACE" w:rsidRPr="00EA2310" w:rsidRDefault="00050ACE" w:rsidP="00050ACE">
            <w:pPr>
              <w:ind w:left="360"/>
              <w:rPr>
                <w:kern w:val="2"/>
              </w:rPr>
            </w:pPr>
          </w:p>
        </w:tc>
        <w:tc>
          <w:tcPr>
            <w:tcW w:w="939" w:type="pct"/>
          </w:tcPr>
          <w:p w14:paraId="04F81335" w14:textId="77777777" w:rsidR="00050ACE" w:rsidRPr="00EA2310" w:rsidRDefault="00050ACE" w:rsidP="00050ACE">
            <w:pPr>
              <w:ind w:left="360"/>
              <w:rPr>
                <w:kern w:val="2"/>
              </w:rPr>
            </w:pPr>
          </w:p>
        </w:tc>
        <w:tc>
          <w:tcPr>
            <w:tcW w:w="545" w:type="pct"/>
          </w:tcPr>
          <w:p w14:paraId="3C0587D5" w14:textId="77777777" w:rsidR="00050ACE" w:rsidRPr="00EA2310" w:rsidRDefault="00050ACE" w:rsidP="00050ACE">
            <w:pPr>
              <w:ind w:left="360"/>
              <w:rPr>
                <w:kern w:val="2"/>
              </w:rPr>
            </w:pPr>
          </w:p>
        </w:tc>
      </w:tr>
      <w:tr w:rsidR="00050ACE" w:rsidRPr="00EA2310" w14:paraId="0DD438BF" w14:textId="77777777" w:rsidTr="00692620">
        <w:tc>
          <w:tcPr>
            <w:tcW w:w="1770" w:type="pct"/>
          </w:tcPr>
          <w:p w14:paraId="0F8FCF63" w14:textId="6EDA81CE" w:rsidR="00050ACE" w:rsidRPr="00DF00E0" w:rsidRDefault="00050ACE" w:rsidP="00692620">
            <w:pPr>
              <w:pStyle w:val="TABLECATEGORYTEXT"/>
            </w:pPr>
            <w:r w:rsidRPr="00DF00E0">
              <w:t>How do you fulfill the requirement to issue a management decision for IDEA-related audit findings?</w:t>
            </w:r>
          </w:p>
        </w:tc>
        <w:tc>
          <w:tcPr>
            <w:tcW w:w="741" w:type="pct"/>
          </w:tcPr>
          <w:p w14:paraId="1B13C3B6" w14:textId="77777777" w:rsidR="00050ACE" w:rsidRPr="00EA2310" w:rsidRDefault="00050ACE" w:rsidP="00050ACE">
            <w:pPr>
              <w:ind w:left="360"/>
              <w:rPr>
                <w:kern w:val="2"/>
              </w:rPr>
            </w:pPr>
          </w:p>
        </w:tc>
        <w:tc>
          <w:tcPr>
            <w:tcW w:w="1005" w:type="pct"/>
          </w:tcPr>
          <w:p w14:paraId="6047E02D" w14:textId="77777777" w:rsidR="00050ACE" w:rsidRPr="00EA2310" w:rsidRDefault="00050ACE" w:rsidP="00050ACE">
            <w:pPr>
              <w:ind w:left="360"/>
              <w:rPr>
                <w:kern w:val="2"/>
              </w:rPr>
            </w:pPr>
          </w:p>
        </w:tc>
        <w:tc>
          <w:tcPr>
            <w:tcW w:w="939" w:type="pct"/>
          </w:tcPr>
          <w:p w14:paraId="40700DFE" w14:textId="77777777" w:rsidR="00050ACE" w:rsidRPr="00EA2310" w:rsidRDefault="00050ACE" w:rsidP="00050ACE">
            <w:pPr>
              <w:ind w:left="360"/>
              <w:rPr>
                <w:kern w:val="2"/>
              </w:rPr>
            </w:pPr>
          </w:p>
        </w:tc>
        <w:tc>
          <w:tcPr>
            <w:tcW w:w="545" w:type="pct"/>
          </w:tcPr>
          <w:p w14:paraId="25D5957A" w14:textId="77777777" w:rsidR="00050ACE" w:rsidRPr="00EA2310" w:rsidRDefault="00050ACE" w:rsidP="00050ACE">
            <w:pPr>
              <w:ind w:left="360"/>
              <w:rPr>
                <w:kern w:val="2"/>
              </w:rPr>
            </w:pPr>
          </w:p>
        </w:tc>
      </w:tr>
      <w:tr w:rsidR="00050ACE" w:rsidRPr="00EA2310" w14:paraId="2670DB8B" w14:textId="77777777" w:rsidTr="00692620">
        <w:tc>
          <w:tcPr>
            <w:tcW w:w="1770" w:type="pct"/>
          </w:tcPr>
          <w:p w14:paraId="2191BF8B" w14:textId="179C951B" w:rsidR="00050ACE" w:rsidRPr="00DF00E0" w:rsidRDefault="00050ACE" w:rsidP="00692620">
            <w:pPr>
              <w:pStyle w:val="TABLECATEGORYTEXT"/>
            </w:pPr>
            <w:r w:rsidRPr="00DF00E0">
              <w:t>What office issues management decisions? If it is an office other than special education, how is your office informed of the audit findings and decisions?</w:t>
            </w:r>
          </w:p>
        </w:tc>
        <w:tc>
          <w:tcPr>
            <w:tcW w:w="741" w:type="pct"/>
          </w:tcPr>
          <w:p w14:paraId="6F6E0E43" w14:textId="77777777" w:rsidR="00050ACE" w:rsidRPr="00EA2310" w:rsidRDefault="00050ACE" w:rsidP="00050ACE">
            <w:pPr>
              <w:ind w:left="360"/>
              <w:rPr>
                <w:kern w:val="2"/>
              </w:rPr>
            </w:pPr>
          </w:p>
        </w:tc>
        <w:tc>
          <w:tcPr>
            <w:tcW w:w="1005" w:type="pct"/>
          </w:tcPr>
          <w:p w14:paraId="6C260737" w14:textId="77777777" w:rsidR="00050ACE" w:rsidRPr="00EA2310" w:rsidRDefault="00050ACE" w:rsidP="00050ACE">
            <w:pPr>
              <w:ind w:left="360"/>
              <w:rPr>
                <w:kern w:val="2"/>
              </w:rPr>
            </w:pPr>
          </w:p>
        </w:tc>
        <w:tc>
          <w:tcPr>
            <w:tcW w:w="939" w:type="pct"/>
          </w:tcPr>
          <w:p w14:paraId="09EFB1F5" w14:textId="77777777" w:rsidR="00050ACE" w:rsidRPr="00EA2310" w:rsidRDefault="00050ACE" w:rsidP="00050ACE">
            <w:pPr>
              <w:ind w:left="360"/>
              <w:rPr>
                <w:kern w:val="2"/>
              </w:rPr>
            </w:pPr>
          </w:p>
        </w:tc>
        <w:tc>
          <w:tcPr>
            <w:tcW w:w="545" w:type="pct"/>
          </w:tcPr>
          <w:p w14:paraId="4B8AC9E9" w14:textId="77777777" w:rsidR="00050ACE" w:rsidRPr="00EA2310" w:rsidRDefault="00050ACE" w:rsidP="00050ACE">
            <w:pPr>
              <w:ind w:left="360"/>
              <w:rPr>
                <w:kern w:val="2"/>
              </w:rPr>
            </w:pPr>
          </w:p>
        </w:tc>
      </w:tr>
      <w:tr w:rsidR="00050ACE" w:rsidRPr="00EA2310" w14:paraId="6C805A94" w14:textId="77777777" w:rsidTr="00692620">
        <w:tc>
          <w:tcPr>
            <w:tcW w:w="1770" w:type="pct"/>
          </w:tcPr>
          <w:p w14:paraId="52A32C8D" w14:textId="3D2B2EAA" w:rsidR="00050ACE" w:rsidRPr="00DF00E0" w:rsidRDefault="00050ACE" w:rsidP="00692620">
            <w:pPr>
              <w:pStyle w:val="TABLECATEGORYTEXT"/>
            </w:pPr>
            <w:r w:rsidRPr="00DF00E0">
              <w:t>Who is responsible for ensuring timely correction of the audit finding? How are corrections tracked and closed out?</w:t>
            </w:r>
          </w:p>
        </w:tc>
        <w:tc>
          <w:tcPr>
            <w:tcW w:w="741" w:type="pct"/>
          </w:tcPr>
          <w:p w14:paraId="58F0FAE2" w14:textId="77777777" w:rsidR="00050ACE" w:rsidRPr="00EA2310" w:rsidRDefault="00050ACE" w:rsidP="00050ACE">
            <w:pPr>
              <w:ind w:left="360"/>
              <w:rPr>
                <w:kern w:val="2"/>
              </w:rPr>
            </w:pPr>
          </w:p>
        </w:tc>
        <w:tc>
          <w:tcPr>
            <w:tcW w:w="1005" w:type="pct"/>
          </w:tcPr>
          <w:p w14:paraId="2FD58BE4" w14:textId="77777777" w:rsidR="00050ACE" w:rsidRPr="00EA2310" w:rsidRDefault="00050ACE" w:rsidP="00050ACE">
            <w:pPr>
              <w:ind w:left="360"/>
              <w:rPr>
                <w:kern w:val="2"/>
              </w:rPr>
            </w:pPr>
          </w:p>
        </w:tc>
        <w:tc>
          <w:tcPr>
            <w:tcW w:w="939" w:type="pct"/>
          </w:tcPr>
          <w:p w14:paraId="2E6470DD" w14:textId="77777777" w:rsidR="00050ACE" w:rsidRPr="00EA2310" w:rsidRDefault="00050ACE" w:rsidP="00050ACE">
            <w:pPr>
              <w:ind w:left="360"/>
              <w:rPr>
                <w:kern w:val="2"/>
              </w:rPr>
            </w:pPr>
          </w:p>
        </w:tc>
        <w:tc>
          <w:tcPr>
            <w:tcW w:w="545" w:type="pct"/>
          </w:tcPr>
          <w:p w14:paraId="5E4A8941" w14:textId="77777777" w:rsidR="00050ACE" w:rsidRPr="00EA2310" w:rsidRDefault="00050ACE" w:rsidP="00050ACE">
            <w:pPr>
              <w:ind w:left="360"/>
              <w:rPr>
                <w:kern w:val="2"/>
              </w:rPr>
            </w:pPr>
          </w:p>
        </w:tc>
      </w:tr>
      <w:tr w:rsidR="00050ACE" w:rsidRPr="00EA2310" w14:paraId="09586316" w14:textId="77777777" w:rsidTr="00692620">
        <w:tc>
          <w:tcPr>
            <w:tcW w:w="1770" w:type="pct"/>
          </w:tcPr>
          <w:p w14:paraId="131FC30C" w14:textId="60EBD383" w:rsidR="00050ACE" w:rsidRPr="00DF00E0" w:rsidRDefault="00050ACE" w:rsidP="00692620">
            <w:pPr>
              <w:pStyle w:val="TABLECATEGORYTEXT"/>
            </w:pPr>
            <w:r w:rsidRPr="00DF00E0">
              <w:t>Do you track repeat audit findings (i.e., repeat for the same LEA, and repeat across multiple LEAs)?</w:t>
            </w:r>
          </w:p>
        </w:tc>
        <w:tc>
          <w:tcPr>
            <w:tcW w:w="741" w:type="pct"/>
          </w:tcPr>
          <w:p w14:paraId="448A70C3" w14:textId="77777777" w:rsidR="00050ACE" w:rsidRPr="00EA2310" w:rsidRDefault="00050ACE" w:rsidP="00050ACE">
            <w:pPr>
              <w:ind w:left="360"/>
              <w:rPr>
                <w:kern w:val="2"/>
              </w:rPr>
            </w:pPr>
          </w:p>
        </w:tc>
        <w:tc>
          <w:tcPr>
            <w:tcW w:w="1005" w:type="pct"/>
          </w:tcPr>
          <w:p w14:paraId="0E14B4AC" w14:textId="77777777" w:rsidR="00050ACE" w:rsidRPr="00EA2310" w:rsidRDefault="00050ACE" w:rsidP="00050ACE">
            <w:pPr>
              <w:ind w:left="360"/>
              <w:rPr>
                <w:kern w:val="2"/>
              </w:rPr>
            </w:pPr>
          </w:p>
        </w:tc>
        <w:tc>
          <w:tcPr>
            <w:tcW w:w="939" w:type="pct"/>
          </w:tcPr>
          <w:p w14:paraId="4B63D711" w14:textId="77777777" w:rsidR="00050ACE" w:rsidRPr="00EA2310" w:rsidRDefault="00050ACE" w:rsidP="00050ACE">
            <w:pPr>
              <w:ind w:left="360"/>
              <w:rPr>
                <w:kern w:val="2"/>
              </w:rPr>
            </w:pPr>
          </w:p>
        </w:tc>
        <w:tc>
          <w:tcPr>
            <w:tcW w:w="545" w:type="pct"/>
          </w:tcPr>
          <w:p w14:paraId="503E83F0" w14:textId="77777777" w:rsidR="00050ACE" w:rsidRPr="00EA2310" w:rsidRDefault="00050ACE" w:rsidP="00050ACE">
            <w:pPr>
              <w:ind w:left="360"/>
              <w:rPr>
                <w:kern w:val="2"/>
              </w:rPr>
            </w:pPr>
          </w:p>
        </w:tc>
      </w:tr>
      <w:tr w:rsidR="00050ACE" w:rsidRPr="00EA2310" w14:paraId="4E4456BC" w14:textId="77777777" w:rsidTr="00692620">
        <w:tc>
          <w:tcPr>
            <w:tcW w:w="1770" w:type="pct"/>
          </w:tcPr>
          <w:p w14:paraId="1EDDEEC1" w14:textId="6CECFBA9" w:rsidR="00050ACE" w:rsidRPr="00DF00E0" w:rsidRDefault="00050ACE" w:rsidP="00692620">
            <w:pPr>
              <w:pStyle w:val="TABLECATEGORYTEXT"/>
            </w:pPr>
            <w:r w:rsidRPr="00DF00E0">
              <w:t>Have there been other audits or investigations of LEAs (e.g., State inspector general audits, public inquiries) related to allowable uses of special education funding?</w:t>
            </w:r>
          </w:p>
        </w:tc>
        <w:tc>
          <w:tcPr>
            <w:tcW w:w="741" w:type="pct"/>
          </w:tcPr>
          <w:p w14:paraId="431D1896" w14:textId="77777777" w:rsidR="00050ACE" w:rsidRPr="00EA2310" w:rsidRDefault="00050ACE" w:rsidP="00050ACE">
            <w:pPr>
              <w:ind w:left="360"/>
              <w:rPr>
                <w:kern w:val="2"/>
              </w:rPr>
            </w:pPr>
          </w:p>
        </w:tc>
        <w:tc>
          <w:tcPr>
            <w:tcW w:w="1005" w:type="pct"/>
          </w:tcPr>
          <w:p w14:paraId="4E450E5B" w14:textId="77777777" w:rsidR="00050ACE" w:rsidRPr="00EA2310" w:rsidRDefault="00050ACE" w:rsidP="00050ACE">
            <w:pPr>
              <w:ind w:left="360"/>
              <w:rPr>
                <w:kern w:val="2"/>
              </w:rPr>
            </w:pPr>
          </w:p>
        </w:tc>
        <w:tc>
          <w:tcPr>
            <w:tcW w:w="939" w:type="pct"/>
          </w:tcPr>
          <w:p w14:paraId="4A44870F" w14:textId="77777777" w:rsidR="00050ACE" w:rsidRPr="00EA2310" w:rsidRDefault="00050ACE" w:rsidP="00050ACE">
            <w:pPr>
              <w:ind w:left="360"/>
              <w:rPr>
                <w:kern w:val="2"/>
              </w:rPr>
            </w:pPr>
          </w:p>
        </w:tc>
        <w:tc>
          <w:tcPr>
            <w:tcW w:w="545" w:type="pct"/>
          </w:tcPr>
          <w:p w14:paraId="41FE27A9" w14:textId="77777777" w:rsidR="00050ACE" w:rsidRPr="00EA2310" w:rsidRDefault="00050ACE" w:rsidP="00050ACE">
            <w:pPr>
              <w:ind w:left="360"/>
              <w:rPr>
                <w:kern w:val="2"/>
              </w:rPr>
            </w:pPr>
          </w:p>
        </w:tc>
      </w:tr>
    </w:tbl>
    <w:p w14:paraId="78B84C08" w14:textId="77E5AF47" w:rsidR="00050ACE" w:rsidRDefault="008D4EE6" w:rsidP="008D4EE6">
      <w:pPr>
        <w:spacing w:before="40" w:after="240"/>
        <w:rPr>
          <w:rFonts w:cstheme="minorHAnsi"/>
          <w:b/>
          <w:bCs/>
          <w:color w:val="000000" w:themeColor="text1"/>
        </w:rPr>
      </w:pPr>
      <w:r w:rsidRPr="008D4EE6">
        <w:rPr>
          <w:rFonts w:cstheme="minorHAnsi"/>
          <w:b/>
          <w:bCs/>
          <w:color w:val="000000" w:themeColor="text1"/>
        </w:rPr>
        <w:t>Notes:</w:t>
      </w:r>
    </w:p>
    <w:p w14:paraId="25530081" w14:textId="7C470C62" w:rsidR="00E63718" w:rsidRPr="008D4EE6" w:rsidRDefault="00E63718" w:rsidP="008D4EE6">
      <w:pPr>
        <w:spacing w:before="40" w:after="240"/>
        <w:rPr>
          <w:rFonts w:cstheme="minorHAnsi"/>
          <w:b/>
          <w:bCs/>
          <w:color w:val="000000" w:themeColor="text1"/>
        </w:rPr>
      </w:pPr>
      <w:r>
        <w:rPr>
          <w:rFonts w:cstheme="minorHAnsi"/>
          <w:b/>
          <w:bCs/>
          <w:color w:val="000000" w:themeColor="text1"/>
        </w:rPr>
        <w:br w:type="page"/>
      </w:r>
    </w:p>
    <w:p w14:paraId="7AF58A48" w14:textId="4C50F1E0" w:rsidR="008D4EE6" w:rsidRDefault="008D4EE6" w:rsidP="008D4EE6">
      <w:pPr>
        <w:pStyle w:val="Heading1"/>
        <w:pBdr>
          <w:top w:val="single" w:sz="4" w:space="1" w:color="auto"/>
          <w:left w:val="single" w:sz="4" w:space="4" w:color="auto"/>
          <w:bottom w:val="single" w:sz="4" w:space="1" w:color="auto"/>
          <w:right w:val="single" w:sz="4" w:space="4" w:color="auto"/>
        </w:pBdr>
        <w:shd w:val="clear" w:color="auto" w:fill="D9E2F3" w:themeFill="accent1" w:themeFillTint="33"/>
        <w:spacing w:before="0"/>
        <w:ind w:left="90" w:right="90"/>
      </w:pPr>
      <w:r w:rsidRPr="008D4EE6">
        <w:lastRenderedPageBreak/>
        <w:t>QUESTIONS ABOUT IMPROVED OUTCOMES FOR STUDENTS WITH DISABILITIES</w:t>
      </w:r>
    </w:p>
    <w:p w14:paraId="38C6D402" w14:textId="77777777" w:rsidR="008D4EE6" w:rsidRPr="009225D4" w:rsidRDefault="008D4EE6" w:rsidP="00692620">
      <w:pPr>
        <w:spacing w:before="40" w:after="480"/>
        <w:rPr>
          <w:b/>
          <w:bCs/>
        </w:rPr>
      </w:pPr>
      <w:r w:rsidRPr="009225D4">
        <w:rPr>
          <w:b/>
          <w:bCs/>
        </w:rPr>
        <w:t>Overall Comments and Notes:</w:t>
      </w:r>
    </w:p>
    <w:tbl>
      <w:tblPr>
        <w:tblStyle w:val="TableGrid"/>
        <w:tblW w:w="5000" w:type="pct"/>
        <w:tblLook w:val="04A0" w:firstRow="1" w:lastRow="0" w:firstColumn="1" w:lastColumn="0" w:noHBand="0" w:noVBand="1"/>
      </w:tblPr>
      <w:tblGrid>
        <w:gridCol w:w="4857"/>
        <w:gridCol w:w="1891"/>
        <w:gridCol w:w="2699"/>
        <w:gridCol w:w="2522"/>
        <w:gridCol w:w="1461"/>
      </w:tblGrid>
      <w:tr w:rsidR="00692620" w:rsidRPr="00EA2310" w14:paraId="3DEFB3CE" w14:textId="77777777" w:rsidTr="00692620">
        <w:trPr>
          <w:cantSplit/>
          <w:tblHeader/>
        </w:trPr>
        <w:tc>
          <w:tcPr>
            <w:tcW w:w="1808" w:type="pct"/>
            <w:shd w:val="clear" w:color="auto" w:fill="D9E2F3" w:themeFill="accent1" w:themeFillTint="33"/>
          </w:tcPr>
          <w:p w14:paraId="21FD7668" w14:textId="46E65890" w:rsidR="00050ACE" w:rsidRPr="00EA2310" w:rsidRDefault="007B0349" w:rsidP="00BD6601">
            <w:pPr>
              <w:pStyle w:val="TABLEHEADERROW"/>
              <w:rPr>
                <w:kern w:val="2"/>
              </w:rPr>
            </w:pPr>
            <w:r>
              <w:t>Improving Outcomes</w:t>
            </w:r>
          </w:p>
        </w:tc>
        <w:tc>
          <w:tcPr>
            <w:tcW w:w="704" w:type="pct"/>
            <w:shd w:val="clear" w:color="auto" w:fill="D9E2F3" w:themeFill="accent1" w:themeFillTint="33"/>
          </w:tcPr>
          <w:p w14:paraId="13B42F6D" w14:textId="77777777" w:rsidR="00050ACE" w:rsidRPr="00EA2310" w:rsidRDefault="00050ACE" w:rsidP="00BD6601">
            <w:pPr>
              <w:pStyle w:val="TABLEHEADERROW"/>
              <w:rPr>
                <w:kern w:val="2"/>
              </w:rPr>
            </w:pPr>
            <w:r w:rsidRPr="00EA2310">
              <w:t>Staff Assigned</w:t>
            </w:r>
          </w:p>
        </w:tc>
        <w:tc>
          <w:tcPr>
            <w:tcW w:w="1005" w:type="pct"/>
            <w:shd w:val="clear" w:color="auto" w:fill="D9E2F3" w:themeFill="accent1" w:themeFillTint="33"/>
          </w:tcPr>
          <w:p w14:paraId="028C328E" w14:textId="77777777" w:rsidR="00050ACE" w:rsidRPr="00EA2310" w:rsidRDefault="00050ACE" w:rsidP="00BD6601">
            <w:pPr>
              <w:pStyle w:val="TABLEHEADERROW"/>
              <w:rPr>
                <w:kern w:val="2"/>
              </w:rPr>
            </w:pPr>
            <w:r w:rsidRPr="00EA2310">
              <w:t>Location of Materials</w:t>
            </w:r>
          </w:p>
        </w:tc>
        <w:tc>
          <w:tcPr>
            <w:tcW w:w="939" w:type="pct"/>
            <w:shd w:val="clear" w:color="auto" w:fill="D9E2F3" w:themeFill="accent1" w:themeFillTint="33"/>
          </w:tcPr>
          <w:p w14:paraId="577C2FC6" w14:textId="77777777" w:rsidR="00050ACE" w:rsidRPr="00EA2310" w:rsidRDefault="00050ACE" w:rsidP="00BD6601">
            <w:pPr>
              <w:pStyle w:val="TABLEHEADERROW"/>
              <w:rPr>
                <w:kern w:val="2"/>
              </w:rPr>
            </w:pPr>
            <w:r w:rsidRPr="00EA2310">
              <w:t>Notes</w:t>
            </w:r>
          </w:p>
        </w:tc>
        <w:tc>
          <w:tcPr>
            <w:tcW w:w="545" w:type="pct"/>
            <w:shd w:val="clear" w:color="auto" w:fill="D9E2F3" w:themeFill="accent1" w:themeFillTint="33"/>
          </w:tcPr>
          <w:p w14:paraId="5241B5FE" w14:textId="77777777" w:rsidR="00050ACE" w:rsidRPr="00EA2310" w:rsidRDefault="00050ACE" w:rsidP="00BD6601">
            <w:pPr>
              <w:pStyle w:val="TABLEHEADERROW"/>
              <w:rPr>
                <w:kern w:val="2"/>
              </w:rPr>
            </w:pPr>
            <w:r w:rsidRPr="00EA2310">
              <w:t>Complete</w:t>
            </w:r>
          </w:p>
        </w:tc>
      </w:tr>
      <w:tr w:rsidR="00692620" w:rsidRPr="00EA2310" w14:paraId="3ABA5FFF" w14:textId="77777777" w:rsidTr="00692620">
        <w:trPr>
          <w:cantSplit/>
        </w:trPr>
        <w:tc>
          <w:tcPr>
            <w:tcW w:w="1808" w:type="pct"/>
          </w:tcPr>
          <w:p w14:paraId="3EA77849" w14:textId="77777777" w:rsidR="00050ACE" w:rsidRPr="00050ACE" w:rsidRDefault="00050ACE" w:rsidP="00AE1020">
            <w:pPr>
              <w:pStyle w:val="TABLECATEGORYTEXT"/>
              <w:numPr>
                <w:ilvl w:val="0"/>
                <w:numId w:val="7"/>
              </w:numPr>
            </w:pPr>
            <w:r w:rsidRPr="007B4A42">
              <w:t>What are examples of how IDEA funds are used to support the State-identified Measurable Result</w:t>
            </w:r>
            <w:r w:rsidRPr="00692620">
              <w:rPr>
                <w:spacing w:val="-3"/>
              </w:rPr>
              <w:t xml:space="preserve"> </w:t>
            </w:r>
            <w:r w:rsidRPr="007B4A42">
              <w:t>(</w:t>
            </w:r>
            <w:proofErr w:type="spellStart"/>
            <w:r w:rsidRPr="007B4A42">
              <w:t>SiMR</w:t>
            </w:r>
            <w:proofErr w:type="spellEnd"/>
            <w:r w:rsidRPr="007B4A42">
              <w:t>)</w:t>
            </w:r>
            <w:r w:rsidRPr="00692620">
              <w:rPr>
                <w:spacing w:val="-4"/>
              </w:rPr>
              <w:t xml:space="preserve"> </w:t>
            </w:r>
            <w:r w:rsidRPr="007B4A42">
              <w:t>from</w:t>
            </w:r>
            <w:r w:rsidRPr="00692620">
              <w:rPr>
                <w:spacing w:val="-3"/>
              </w:rPr>
              <w:t xml:space="preserve"> </w:t>
            </w:r>
            <w:r w:rsidRPr="007B4A42">
              <w:t>the</w:t>
            </w:r>
            <w:r w:rsidRPr="00692620">
              <w:rPr>
                <w:spacing w:val="-4"/>
              </w:rPr>
              <w:t xml:space="preserve"> </w:t>
            </w:r>
            <w:r w:rsidRPr="007B4A42">
              <w:t>State</w:t>
            </w:r>
            <w:r w:rsidRPr="00692620">
              <w:rPr>
                <w:spacing w:val="-4"/>
              </w:rPr>
              <w:t xml:space="preserve"> </w:t>
            </w:r>
            <w:r w:rsidRPr="007B4A42">
              <w:t>Systemic</w:t>
            </w:r>
            <w:r w:rsidRPr="00692620">
              <w:rPr>
                <w:spacing w:val="-4"/>
              </w:rPr>
              <w:t xml:space="preserve"> </w:t>
            </w:r>
            <w:r w:rsidRPr="007B4A42">
              <w:t>Improvement</w:t>
            </w:r>
            <w:r w:rsidRPr="00692620">
              <w:rPr>
                <w:spacing w:val="-3"/>
              </w:rPr>
              <w:t xml:space="preserve"> </w:t>
            </w:r>
            <w:r w:rsidRPr="007B4A42">
              <w:t>Plan,</w:t>
            </w:r>
            <w:r w:rsidRPr="00692620">
              <w:rPr>
                <w:spacing w:val="-3"/>
              </w:rPr>
              <w:t xml:space="preserve"> </w:t>
            </w:r>
            <w:r w:rsidRPr="007B4A42">
              <w:t>or</w:t>
            </w:r>
            <w:r w:rsidRPr="00692620">
              <w:rPr>
                <w:spacing w:val="-4"/>
              </w:rPr>
              <w:t xml:space="preserve"> </w:t>
            </w:r>
            <w:r w:rsidRPr="007B4A42">
              <w:t>improved</w:t>
            </w:r>
            <w:r w:rsidRPr="00692620">
              <w:rPr>
                <w:spacing w:val="-3"/>
              </w:rPr>
              <w:t xml:space="preserve"> </w:t>
            </w:r>
            <w:r w:rsidRPr="007B4A42">
              <w:t>results</w:t>
            </w:r>
            <w:r w:rsidRPr="00692620">
              <w:rPr>
                <w:spacing w:val="-3"/>
              </w:rPr>
              <w:t xml:space="preserve"> </w:t>
            </w:r>
            <w:r w:rsidRPr="007B4A42">
              <w:t>for</w:t>
            </w:r>
            <w:r w:rsidRPr="00692620">
              <w:rPr>
                <w:spacing w:val="-4"/>
              </w:rPr>
              <w:t xml:space="preserve"> </w:t>
            </w:r>
            <w:r w:rsidRPr="007B4A42">
              <w:t>children</w:t>
            </w:r>
            <w:r w:rsidRPr="00692620">
              <w:rPr>
                <w:spacing w:val="-3"/>
              </w:rPr>
              <w:t xml:space="preserve"> </w:t>
            </w:r>
            <w:r w:rsidRPr="007B4A42">
              <w:t>with disabilities more broadly?</w:t>
            </w:r>
          </w:p>
          <w:p w14:paraId="03851990" w14:textId="77777777" w:rsidR="00050ACE" w:rsidRPr="00050ACE" w:rsidRDefault="00050ACE" w:rsidP="00AE1020">
            <w:pPr>
              <w:pStyle w:val="TABLECATEGORYTEXT"/>
              <w:numPr>
                <w:ilvl w:val="1"/>
                <w:numId w:val="8"/>
              </w:numPr>
            </w:pPr>
            <w:r w:rsidRPr="007B4A42">
              <w:t>-at</w:t>
            </w:r>
            <w:r w:rsidRPr="007B4A42">
              <w:rPr>
                <w:spacing w:val="-2"/>
              </w:rPr>
              <w:t xml:space="preserve"> </w:t>
            </w:r>
            <w:r w:rsidRPr="007B4A42">
              <w:t>SEA</w:t>
            </w:r>
            <w:r w:rsidRPr="007B4A42">
              <w:rPr>
                <w:spacing w:val="-2"/>
              </w:rPr>
              <w:t xml:space="preserve"> level</w:t>
            </w:r>
          </w:p>
          <w:p w14:paraId="2FD1BA35" w14:textId="24325EE3" w:rsidR="00050ACE" w:rsidRPr="00050ACE" w:rsidRDefault="00050ACE" w:rsidP="00AE1020">
            <w:pPr>
              <w:pStyle w:val="TABLECATEGORYTEXT"/>
              <w:numPr>
                <w:ilvl w:val="1"/>
                <w:numId w:val="8"/>
              </w:numPr>
            </w:pPr>
            <w:r w:rsidRPr="007B4A42">
              <w:t>-at</w:t>
            </w:r>
            <w:r w:rsidRPr="007B4A42">
              <w:rPr>
                <w:spacing w:val="-3"/>
              </w:rPr>
              <w:t xml:space="preserve"> </w:t>
            </w:r>
            <w:r w:rsidRPr="007B4A42">
              <w:t>LEA</w:t>
            </w:r>
            <w:r w:rsidRPr="007B4A42">
              <w:rPr>
                <w:spacing w:val="-2"/>
              </w:rPr>
              <w:t xml:space="preserve"> level</w:t>
            </w:r>
          </w:p>
        </w:tc>
        <w:tc>
          <w:tcPr>
            <w:tcW w:w="704" w:type="pct"/>
          </w:tcPr>
          <w:p w14:paraId="1BE14AF6" w14:textId="77777777" w:rsidR="00050ACE" w:rsidRPr="00EA2310" w:rsidRDefault="00050ACE" w:rsidP="00050ACE">
            <w:pPr>
              <w:ind w:left="360"/>
              <w:rPr>
                <w:kern w:val="2"/>
              </w:rPr>
            </w:pPr>
          </w:p>
        </w:tc>
        <w:tc>
          <w:tcPr>
            <w:tcW w:w="1005" w:type="pct"/>
          </w:tcPr>
          <w:p w14:paraId="2D0592B0" w14:textId="77777777" w:rsidR="00050ACE" w:rsidRPr="00EA2310" w:rsidRDefault="00050ACE" w:rsidP="00050ACE">
            <w:pPr>
              <w:ind w:left="360"/>
              <w:rPr>
                <w:kern w:val="2"/>
              </w:rPr>
            </w:pPr>
          </w:p>
        </w:tc>
        <w:tc>
          <w:tcPr>
            <w:tcW w:w="939" w:type="pct"/>
          </w:tcPr>
          <w:p w14:paraId="49D9432D" w14:textId="77777777" w:rsidR="00050ACE" w:rsidRPr="00EA2310" w:rsidRDefault="00050ACE" w:rsidP="00050ACE">
            <w:pPr>
              <w:ind w:left="360"/>
              <w:rPr>
                <w:kern w:val="2"/>
              </w:rPr>
            </w:pPr>
          </w:p>
        </w:tc>
        <w:tc>
          <w:tcPr>
            <w:tcW w:w="545" w:type="pct"/>
          </w:tcPr>
          <w:p w14:paraId="2EF2FC00" w14:textId="77777777" w:rsidR="00050ACE" w:rsidRPr="00EA2310" w:rsidRDefault="00050ACE" w:rsidP="00050ACE">
            <w:pPr>
              <w:ind w:left="360"/>
              <w:rPr>
                <w:kern w:val="2"/>
              </w:rPr>
            </w:pPr>
          </w:p>
        </w:tc>
      </w:tr>
      <w:tr w:rsidR="00692620" w:rsidRPr="00EA2310" w14:paraId="2AC66C64" w14:textId="77777777" w:rsidTr="00692620">
        <w:trPr>
          <w:cantSplit/>
        </w:trPr>
        <w:tc>
          <w:tcPr>
            <w:tcW w:w="1808" w:type="pct"/>
          </w:tcPr>
          <w:p w14:paraId="59320B9F" w14:textId="5427ED5C" w:rsidR="00050ACE" w:rsidRPr="00050ACE" w:rsidRDefault="00050ACE" w:rsidP="00692620">
            <w:pPr>
              <w:pStyle w:val="TABLECATEGORYTEXT"/>
            </w:pPr>
            <w:r w:rsidRPr="007B4A42">
              <w:t>Has</w:t>
            </w:r>
            <w:r w:rsidRPr="007B4A42">
              <w:rPr>
                <w:spacing w:val="-2"/>
              </w:rPr>
              <w:t xml:space="preserve"> </w:t>
            </w:r>
            <w:r w:rsidRPr="007B4A42">
              <w:t>any</w:t>
            </w:r>
            <w:r w:rsidRPr="007B4A42">
              <w:rPr>
                <w:spacing w:val="-1"/>
              </w:rPr>
              <w:t xml:space="preserve"> </w:t>
            </w:r>
            <w:r w:rsidRPr="007B4A42">
              <w:t>guidance</w:t>
            </w:r>
            <w:r w:rsidRPr="007B4A42">
              <w:rPr>
                <w:spacing w:val="-2"/>
              </w:rPr>
              <w:t xml:space="preserve"> </w:t>
            </w:r>
            <w:r w:rsidRPr="007B4A42">
              <w:t>been</w:t>
            </w:r>
            <w:r w:rsidRPr="007B4A42">
              <w:rPr>
                <w:spacing w:val="-1"/>
              </w:rPr>
              <w:t xml:space="preserve"> </w:t>
            </w:r>
            <w:r w:rsidRPr="007B4A42">
              <w:t>issued</w:t>
            </w:r>
            <w:r w:rsidRPr="007B4A42">
              <w:rPr>
                <w:spacing w:val="-1"/>
              </w:rPr>
              <w:t xml:space="preserve"> </w:t>
            </w:r>
            <w:r w:rsidRPr="007B4A42">
              <w:t>to</w:t>
            </w:r>
            <w:r w:rsidRPr="007B4A42">
              <w:rPr>
                <w:spacing w:val="-2"/>
              </w:rPr>
              <w:t xml:space="preserve"> </w:t>
            </w:r>
            <w:r w:rsidRPr="007B4A42">
              <w:t>LEAs</w:t>
            </w:r>
            <w:r w:rsidRPr="007B4A42">
              <w:rPr>
                <w:spacing w:val="-1"/>
              </w:rPr>
              <w:t xml:space="preserve"> </w:t>
            </w:r>
            <w:r w:rsidRPr="007B4A42">
              <w:t>regarding</w:t>
            </w:r>
            <w:r w:rsidRPr="007B4A42">
              <w:rPr>
                <w:spacing w:val="-1"/>
              </w:rPr>
              <w:t xml:space="preserve"> </w:t>
            </w:r>
            <w:r w:rsidRPr="007B4A42">
              <w:t>the</w:t>
            </w:r>
            <w:r w:rsidRPr="007B4A42">
              <w:rPr>
                <w:spacing w:val="-2"/>
              </w:rPr>
              <w:t xml:space="preserve"> </w:t>
            </w:r>
            <w:r w:rsidRPr="007B4A42">
              <w:t>use</w:t>
            </w:r>
            <w:r w:rsidRPr="007B4A42">
              <w:rPr>
                <w:spacing w:val="-2"/>
              </w:rPr>
              <w:t xml:space="preserve"> </w:t>
            </w:r>
            <w:r w:rsidRPr="007B4A42">
              <w:t>of</w:t>
            </w:r>
            <w:r w:rsidRPr="007B4A42">
              <w:rPr>
                <w:spacing w:val="-1"/>
              </w:rPr>
              <w:t xml:space="preserve"> </w:t>
            </w:r>
            <w:r w:rsidRPr="007B4A42">
              <w:t>IDEA</w:t>
            </w:r>
            <w:r w:rsidRPr="007B4A42">
              <w:rPr>
                <w:spacing w:val="-2"/>
              </w:rPr>
              <w:t xml:space="preserve"> </w:t>
            </w:r>
            <w:r w:rsidRPr="007B4A42">
              <w:t>funds</w:t>
            </w:r>
            <w:r w:rsidRPr="007B4A42">
              <w:rPr>
                <w:spacing w:val="-1"/>
              </w:rPr>
              <w:t xml:space="preserve"> </w:t>
            </w:r>
            <w:r w:rsidRPr="007B4A42">
              <w:t>in</w:t>
            </w:r>
            <w:r w:rsidRPr="007B4A42">
              <w:rPr>
                <w:spacing w:val="1"/>
              </w:rPr>
              <w:t xml:space="preserve"> </w:t>
            </w:r>
            <w:r w:rsidRPr="007B4A42">
              <w:t>this</w:t>
            </w:r>
            <w:r w:rsidRPr="007B4A42">
              <w:rPr>
                <w:spacing w:val="-1"/>
              </w:rPr>
              <w:t xml:space="preserve"> </w:t>
            </w:r>
            <w:r w:rsidRPr="007B4A42">
              <w:rPr>
                <w:spacing w:val="-4"/>
              </w:rPr>
              <w:t>way?</w:t>
            </w:r>
          </w:p>
        </w:tc>
        <w:tc>
          <w:tcPr>
            <w:tcW w:w="704" w:type="pct"/>
          </w:tcPr>
          <w:p w14:paraId="6FF4B6CA" w14:textId="77777777" w:rsidR="00050ACE" w:rsidRPr="00EA2310" w:rsidRDefault="00050ACE" w:rsidP="00050ACE">
            <w:pPr>
              <w:ind w:left="360"/>
              <w:rPr>
                <w:kern w:val="2"/>
              </w:rPr>
            </w:pPr>
          </w:p>
        </w:tc>
        <w:tc>
          <w:tcPr>
            <w:tcW w:w="1005" w:type="pct"/>
          </w:tcPr>
          <w:p w14:paraId="1A155008" w14:textId="77777777" w:rsidR="00050ACE" w:rsidRPr="00EA2310" w:rsidRDefault="00050ACE" w:rsidP="00050ACE">
            <w:pPr>
              <w:ind w:left="360"/>
              <w:rPr>
                <w:kern w:val="2"/>
              </w:rPr>
            </w:pPr>
          </w:p>
        </w:tc>
        <w:tc>
          <w:tcPr>
            <w:tcW w:w="939" w:type="pct"/>
          </w:tcPr>
          <w:p w14:paraId="3EAC0511" w14:textId="77777777" w:rsidR="00050ACE" w:rsidRPr="00EA2310" w:rsidRDefault="00050ACE" w:rsidP="00050ACE">
            <w:pPr>
              <w:ind w:left="360"/>
              <w:rPr>
                <w:kern w:val="2"/>
              </w:rPr>
            </w:pPr>
          </w:p>
        </w:tc>
        <w:tc>
          <w:tcPr>
            <w:tcW w:w="545" w:type="pct"/>
          </w:tcPr>
          <w:p w14:paraId="684B45EC" w14:textId="77777777" w:rsidR="00050ACE" w:rsidRPr="00EA2310" w:rsidRDefault="00050ACE" w:rsidP="00050ACE">
            <w:pPr>
              <w:ind w:left="360"/>
              <w:rPr>
                <w:kern w:val="2"/>
              </w:rPr>
            </w:pPr>
          </w:p>
        </w:tc>
      </w:tr>
      <w:tr w:rsidR="00692620" w:rsidRPr="00EA2310" w14:paraId="1D48384E" w14:textId="77777777" w:rsidTr="00692620">
        <w:trPr>
          <w:cantSplit/>
        </w:trPr>
        <w:tc>
          <w:tcPr>
            <w:tcW w:w="1808" w:type="pct"/>
          </w:tcPr>
          <w:p w14:paraId="19390342" w14:textId="47A72F41" w:rsidR="00050ACE" w:rsidRPr="00050ACE" w:rsidRDefault="00050ACE" w:rsidP="00692620">
            <w:pPr>
              <w:pStyle w:val="TABLECATEGORYTEXT"/>
            </w:pPr>
            <w:r w:rsidRPr="007B4A42">
              <w:t>What</w:t>
            </w:r>
            <w:r w:rsidRPr="007B4A42">
              <w:rPr>
                <w:spacing w:val="-3"/>
              </w:rPr>
              <w:t xml:space="preserve"> </w:t>
            </w:r>
            <w:r w:rsidRPr="007B4A42">
              <w:t>kinds</w:t>
            </w:r>
            <w:r w:rsidRPr="007B4A42">
              <w:rPr>
                <w:spacing w:val="-3"/>
              </w:rPr>
              <w:t xml:space="preserve"> </w:t>
            </w:r>
            <w:r w:rsidRPr="007B4A42">
              <w:t>of</w:t>
            </w:r>
            <w:r w:rsidRPr="007B4A42">
              <w:rPr>
                <w:spacing w:val="-4"/>
              </w:rPr>
              <w:t xml:space="preserve"> </w:t>
            </w:r>
            <w:r w:rsidRPr="007B4A42">
              <w:t>questions</w:t>
            </w:r>
            <w:r w:rsidRPr="007B4A42">
              <w:rPr>
                <w:spacing w:val="-3"/>
              </w:rPr>
              <w:t xml:space="preserve"> </w:t>
            </w:r>
            <w:r w:rsidRPr="007B4A42">
              <w:t>have</w:t>
            </w:r>
            <w:r w:rsidRPr="007B4A42">
              <w:rPr>
                <w:spacing w:val="-4"/>
              </w:rPr>
              <w:t xml:space="preserve"> </w:t>
            </w:r>
            <w:r w:rsidRPr="007B4A42">
              <w:t>you</w:t>
            </w:r>
            <w:r w:rsidRPr="007B4A42">
              <w:rPr>
                <w:spacing w:val="-3"/>
              </w:rPr>
              <w:t xml:space="preserve"> </w:t>
            </w:r>
            <w:r w:rsidRPr="007B4A42">
              <w:t>received</w:t>
            </w:r>
            <w:r w:rsidRPr="007B4A42">
              <w:rPr>
                <w:spacing w:val="-2"/>
              </w:rPr>
              <w:t xml:space="preserve"> </w:t>
            </w:r>
            <w:r w:rsidRPr="007B4A42">
              <w:t>from</w:t>
            </w:r>
            <w:r w:rsidRPr="007B4A42">
              <w:rPr>
                <w:spacing w:val="-2"/>
              </w:rPr>
              <w:t xml:space="preserve"> </w:t>
            </w:r>
            <w:r w:rsidRPr="007B4A42">
              <w:t>LEAs,</w:t>
            </w:r>
            <w:r w:rsidRPr="007B4A42">
              <w:rPr>
                <w:spacing w:val="-3"/>
              </w:rPr>
              <w:t xml:space="preserve"> </w:t>
            </w:r>
            <w:r w:rsidRPr="007B4A42">
              <w:t>families,</w:t>
            </w:r>
            <w:r w:rsidRPr="007B4A42">
              <w:rPr>
                <w:spacing w:val="-3"/>
              </w:rPr>
              <w:t xml:space="preserve"> </w:t>
            </w:r>
            <w:r w:rsidRPr="007B4A42">
              <w:t>or</w:t>
            </w:r>
            <w:r w:rsidRPr="007B4A42">
              <w:rPr>
                <w:spacing w:val="-4"/>
              </w:rPr>
              <w:t xml:space="preserve"> </w:t>
            </w:r>
            <w:r w:rsidRPr="007B4A42">
              <w:t>other</w:t>
            </w:r>
            <w:r w:rsidRPr="007B4A42">
              <w:rPr>
                <w:spacing w:val="-3"/>
              </w:rPr>
              <w:t xml:space="preserve"> </w:t>
            </w:r>
            <w:r w:rsidRPr="007B4A42">
              <w:t>stakeholders</w:t>
            </w:r>
            <w:r w:rsidRPr="007B4A42">
              <w:rPr>
                <w:spacing w:val="-3"/>
              </w:rPr>
              <w:t xml:space="preserve"> </w:t>
            </w:r>
            <w:r w:rsidRPr="007B4A42">
              <w:t>about</w:t>
            </w:r>
            <w:r w:rsidRPr="007B4A42">
              <w:rPr>
                <w:spacing w:val="-3"/>
              </w:rPr>
              <w:t xml:space="preserve"> </w:t>
            </w:r>
            <w:r w:rsidRPr="007B4A42">
              <w:t>the use of IDEA funds to improve results for children with disabilities?</w:t>
            </w:r>
            <w:r w:rsidRPr="007B4A42">
              <w:rPr>
                <w:spacing w:val="40"/>
              </w:rPr>
              <w:t xml:space="preserve"> </w:t>
            </w:r>
            <w:r w:rsidRPr="007B4A42">
              <w:t>Has the SEA sought input or discussed options with LEAs and stakeholders on this topic?</w:t>
            </w:r>
          </w:p>
        </w:tc>
        <w:tc>
          <w:tcPr>
            <w:tcW w:w="704" w:type="pct"/>
          </w:tcPr>
          <w:p w14:paraId="3B3EC708" w14:textId="77777777" w:rsidR="00050ACE" w:rsidRPr="00EA2310" w:rsidRDefault="00050ACE" w:rsidP="00050ACE">
            <w:pPr>
              <w:ind w:left="360"/>
              <w:rPr>
                <w:kern w:val="2"/>
              </w:rPr>
            </w:pPr>
          </w:p>
        </w:tc>
        <w:tc>
          <w:tcPr>
            <w:tcW w:w="1005" w:type="pct"/>
          </w:tcPr>
          <w:p w14:paraId="72663F64" w14:textId="77777777" w:rsidR="00050ACE" w:rsidRPr="00EA2310" w:rsidRDefault="00050ACE" w:rsidP="00050ACE">
            <w:pPr>
              <w:ind w:left="360"/>
              <w:rPr>
                <w:kern w:val="2"/>
              </w:rPr>
            </w:pPr>
          </w:p>
        </w:tc>
        <w:tc>
          <w:tcPr>
            <w:tcW w:w="939" w:type="pct"/>
          </w:tcPr>
          <w:p w14:paraId="579AD617" w14:textId="77777777" w:rsidR="00050ACE" w:rsidRPr="00EA2310" w:rsidRDefault="00050ACE" w:rsidP="00050ACE">
            <w:pPr>
              <w:ind w:left="360"/>
              <w:rPr>
                <w:kern w:val="2"/>
              </w:rPr>
            </w:pPr>
          </w:p>
        </w:tc>
        <w:tc>
          <w:tcPr>
            <w:tcW w:w="545" w:type="pct"/>
          </w:tcPr>
          <w:p w14:paraId="6A140672" w14:textId="77777777" w:rsidR="00050ACE" w:rsidRPr="00EA2310" w:rsidRDefault="00050ACE" w:rsidP="00050ACE">
            <w:pPr>
              <w:ind w:left="360"/>
              <w:rPr>
                <w:kern w:val="2"/>
              </w:rPr>
            </w:pPr>
          </w:p>
        </w:tc>
      </w:tr>
      <w:tr w:rsidR="00692620" w:rsidRPr="00EA2310" w14:paraId="4DA3911F" w14:textId="77777777" w:rsidTr="00692620">
        <w:trPr>
          <w:cantSplit/>
        </w:trPr>
        <w:tc>
          <w:tcPr>
            <w:tcW w:w="1808" w:type="pct"/>
          </w:tcPr>
          <w:p w14:paraId="178C526B" w14:textId="329E930C" w:rsidR="00AB7C55" w:rsidRPr="00AB7C55" w:rsidRDefault="00AB7C55" w:rsidP="00692620">
            <w:pPr>
              <w:pStyle w:val="TABLECATEGORYTEXT"/>
            </w:pPr>
            <w:r w:rsidRPr="00AB7C55">
              <w:t xml:space="preserve">What are examples of how State funds are used to support the </w:t>
            </w:r>
            <w:proofErr w:type="spellStart"/>
            <w:r w:rsidRPr="00AB7C55">
              <w:t>SiMR</w:t>
            </w:r>
            <w:proofErr w:type="spellEnd"/>
            <w:r w:rsidRPr="00AB7C55">
              <w:t xml:space="preserve">/improved results? Have there been special appropriations since adoption of the </w:t>
            </w:r>
            <w:proofErr w:type="spellStart"/>
            <w:r w:rsidRPr="00AB7C55">
              <w:t>SiMR</w:t>
            </w:r>
            <w:proofErr w:type="spellEnd"/>
            <w:r w:rsidRPr="00AB7C55">
              <w:t>? Increases, decreases targeted to results/</w:t>
            </w:r>
            <w:proofErr w:type="spellStart"/>
            <w:r w:rsidRPr="00AB7C55">
              <w:t>SiMR</w:t>
            </w:r>
            <w:proofErr w:type="spellEnd"/>
            <w:r w:rsidRPr="00AB7C55">
              <w:t xml:space="preserve">? </w:t>
            </w:r>
          </w:p>
        </w:tc>
        <w:tc>
          <w:tcPr>
            <w:tcW w:w="704" w:type="pct"/>
          </w:tcPr>
          <w:p w14:paraId="7D429E78" w14:textId="77777777" w:rsidR="00AB7C55" w:rsidRPr="00EA2310" w:rsidRDefault="00AB7C55" w:rsidP="00050ACE">
            <w:pPr>
              <w:ind w:left="360"/>
              <w:rPr>
                <w:kern w:val="2"/>
              </w:rPr>
            </w:pPr>
          </w:p>
        </w:tc>
        <w:tc>
          <w:tcPr>
            <w:tcW w:w="1005" w:type="pct"/>
          </w:tcPr>
          <w:p w14:paraId="7FC66C5B" w14:textId="77777777" w:rsidR="00AB7C55" w:rsidRPr="00EA2310" w:rsidRDefault="00AB7C55" w:rsidP="00050ACE">
            <w:pPr>
              <w:ind w:left="360"/>
              <w:rPr>
                <w:kern w:val="2"/>
              </w:rPr>
            </w:pPr>
          </w:p>
        </w:tc>
        <w:tc>
          <w:tcPr>
            <w:tcW w:w="939" w:type="pct"/>
          </w:tcPr>
          <w:p w14:paraId="7A37EE8B" w14:textId="77777777" w:rsidR="00AB7C55" w:rsidRPr="00EA2310" w:rsidRDefault="00AB7C55" w:rsidP="00050ACE">
            <w:pPr>
              <w:ind w:left="360"/>
              <w:rPr>
                <w:kern w:val="2"/>
              </w:rPr>
            </w:pPr>
          </w:p>
        </w:tc>
        <w:tc>
          <w:tcPr>
            <w:tcW w:w="545" w:type="pct"/>
          </w:tcPr>
          <w:p w14:paraId="4EC744B4" w14:textId="77777777" w:rsidR="00AB7C55" w:rsidRPr="00EA2310" w:rsidRDefault="00AB7C55" w:rsidP="00050ACE">
            <w:pPr>
              <w:ind w:left="360"/>
              <w:rPr>
                <w:kern w:val="2"/>
              </w:rPr>
            </w:pPr>
          </w:p>
        </w:tc>
      </w:tr>
      <w:tr w:rsidR="00692620" w:rsidRPr="00EA2310" w14:paraId="13250061" w14:textId="77777777" w:rsidTr="00692620">
        <w:trPr>
          <w:cantSplit/>
        </w:trPr>
        <w:tc>
          <w:tcPr>
            <w:tcW w:w="1808" w:type="pct"/>
          </w:tcPr>
          <w:p w14:paraId="62C935D3" w14:textId="6C95E6F9" w:rsidR="00AB7C55" w:rsidRPr="00AB7C55" w:rsidRDefault="00AB7C55" w:rsidP="00692620">
            <w:pPr>
              <w:pStyle w:val="TABLECATEGORYTEXT"/>
            </w:pPr>
            <w:r w:rsidRPr="00AB7C55">
              <w:t xml:space="preserve">Have there been any single audit findings or fiscal monitoring findings related (directly or indirectly) to the use of IDEA funds in support of improved results for children with disabilities? </w:t>
            </w:r>
          </w:p>
        </w:tc>
        <w:tc>
          <w:tcPr>
            <w:tcW w:w="704" w:type="pct"/>
          </w:tcPr>
          <w:p w14:paraId="5C22D7E9" w14:textId="77777777" w:rsidR="00AB7C55" w:rsidRPr="00EA2310" w:rsidRDefault="00AB7C55" w:rsidP="00050ACE">
            <w:pPr>
              <w:ind w:left="360"/>
              <w:rPr>
                <w:kern w:val="2"/>
              </w:rPr>
            </w:pPr>
          </w:p>
        </w:tc>
        <w:tc>
          <w:tcPr>
            <w:tcW w:w="1005" w:type="pct"/>
          </w:tcPr>
          <w:p w14:paraId="3FC1F3F0" w14:textId="77777777" w:rsidR="00AB7C55" w:rsidRPr="00EA2310" w:rsidRDefault="00AB7C55" w:rsidP="00050ACE">
            <w:pPr>
              <w:ind w:left="360"/>
              <w:rPr>
                <w:kern w:val="2"/>
              </w:rPr>
            </w:pPr>
          </w:p>
        </w:tc>
        <w:tc>
          <w:tcPr>
            <w:tcW w:w="939" w:type="pct"/>
          </w:tcPr>
          <w:p w14:paraId="0EB8266B" w14:textId="77777777" w:rsidR="00AB7C55" w:rsidRPr="00EA2310" w:rsidRDefault="00AB7C55" w:rsidP="00050ACE">
            <w:pPr>
              <w:ind w:left="360"/>
              <w:rPr>
                <w:kern w:val="2"/>
              </w:rPr>
            </w:pPr>
          </w:p>
        </w:tc>
        <w:tc>
          <w:tcPr>
            <w:tcW w:w="545" w:type="pct"/>
          </w:tcPr>
          <w:p w14:paraId="49A67D62" w14:textId="77777777" w:rsidR="00AB7C55" w:rsidRPr="00EA2310" w:rsidRDefault="00AB7C55" w:rsidP="00050ACE">
            <w:pPr>
              <w:ind w:left="360"/>
              <w:rPr>
                <w:kern w:val="2"/>
              </w:rPr>
            </w:pPr>
          </w:p>
        </w:tc>
      </w:tr>
    </w:tbl>
    <w:p w14:paraId="71BE2AB7" w14:textId="6F50B79A" w:rsidR="00050ACE" w:rsidRDefault="00E63718" w:rsidP="00692620">
      <w:pPr>
        <w:spacing w:before="40" w:after="0"/>
        <w:rPr>
          <w:rFonts w:cstheme="minorHAnsi"/>
          <w:b/>
          <w:bCs/>
          <w:color w:val="000000" w:themeColor="text1"/>
        </w:rPr>
      </w:pPr>
      <w:r w:rsidRPr="00E63718">
        <w:rPr>
          <w:rFonts w:cstheme="minorHAnsi"/>
          <w:b/>
          <w:bCs/>
          <w:color w:val="000000" w:themeColor="text1"/>
        </w:rPr>
        <w:t>Notes:</w:t>
      </w:r>
    </w:p>
    <w:p w14:paraId="50C499D6" w14:textId="77777777" w:rsidR="00E63718" w:rsidRDefault="00E63718">
      <w:pPr>
        <w:spacing w:after="160" w:line="259" w:lineRule="auto"/>
        <w:rPr>
          <w:rFonts w:cstheme="minorHAnsi"/>
          <w:b/>
          <w:bCs/>
          <w:color w:val="000000" w:themeColor="text1"/>
        </w:rPr>
        <w:sectPr w:rsidR="00E63718" w:rsidSect="009418D8">
          <w:pgSz w:w="15840" w:h="12240" w:orient="landscape" w:code="1"/>
          <w:pgMar w:top="720" w:right="960" w:bottom="720" w:left="1440" w:header="720" w:footer="720" w:gutter="0"/>
          <w:cols w:space="720"/>
          <w:docGrid w:linePitch="360"/>
        </w:sectPr>
      </w:pPr>
    </w:p>
    <w:bookmarkEnd w:id="0"/>
    <w:p w14:paraId="6A3981AD" w14:textId="1631104E" w:rsidR="005D453E" w:rsidRDefault="005D453E" w:rsidP="005D453E">
      <w:pPr>
        <w:pStyle w:val="Heading1"/>
      </w:pPr>
      <w:r>
        <w:lastRenderedPageBreak/>
        <w:t>DOCUMENTS NEEDED</w:t>
      </w:r>
    </w:p>
    <w:p w14:paraId="3B30B00D" w14:textId="13713955" w:rsidR="005D453E" w:rsidRDefault="005D453E" w:rsidP="00AE1020">
      <w:pPr>
        <w:pStyle w:val="ListParagraph"/>
        <w:numPr>
          <w:ilvl w:val="0"/>
          <w:numId w:val="4"/>
        </w:numPr>
      </w:pPr>
      <w:r>
        <w:t xml:space="preserve">Current monitoring procedures and protocols. </w:t>
      </w:r>
    </w:p>
    <w:p w14:paraId="55DEB345" w14:textId="5C3F2C05" w:rsidR="005D453E" w:rsidRDefault="005D453E" w:rsidP="00AE1020">
      <w:pPr>
        <w:pStyle w:val="ListParagraph"/>
        <w:numPr>
          <w:ilvl w:val="0"/>
          <w:numId w:val="4"/>
        </w:numPr>
      </w:pPr>
      <w:r>
        <w:t xml:space="preserve">Proposed monitoring procedures and protocols. </w:t>
      </w:r>
    </w:p>
    <w:p w14:paraId="5B904205" w14:textId="3379F410" w:rsidR="005D453E" w:rsidRDefault="005D453E" w:rsidP="00AE1020">
      <w:pPr>
        <w:pStyle w:val="ListParagraph"/>
        <w:numPr>
          <w:ilvl w:val="0"/>
          <w:numId w:val="4"/>
        </w:numPr>
      </w:pPr>
      <w:r>
        <w:t xml:space="preserve">Monitoring cycle, if applicable. </w:t>
      </w:r>
    </w:p>
    <w:p w14:paraId="48419F7E" w14:textId="30EBAC3A" w:rsidR="005D453E" w:rsidRDefault="005D453E" w:rsidP="00AE1020">
      <w:pPr>
        <w:pStyle w:val="ListParagraph"/>
        <w:numPr>
          <w:ilvl w:val="0"/>
          <w:numId w:val="4"/>
        </w:numPr>
      </w:pPr>
      <w:r>
        <w:t xml:space="preserve">Risk rubric/assessment/factors. </w:t>
      </w:r>
    </w:p>
    <w:p w14:paraId="18909146" w14:textId="6BE06044" w:rsidR="005D453E" w:rsidRDefault="005D453E" w:rsidP="00AE1020">
      <w:pPr>
        <w:pStyle w:val="ListParagraph"/>
        <w:numPr>
          <w:ilvl w:val="0"/>
          <w:numId w:val="4"/>
        </w:numPr>
      </w:pPr>
      <w:r>
        <w:t xml:space="preserve">Summary of IDEA-related fiscal monitoring findings for LEAs for prior two years. </w:t>
      </w:r>
    </w:p>
    <w:p w14:paraId="7D21DE80" w14:textId="76B8CAF9" w:rsidR="005D453E" w:rsidRDefault="005D453E" w:rsidP="00AE1020">
      <w:pPr>
        <w:pStyle w:val="ListParagraph"/>
        <w:numPr>
          <w:ilvl w:val="0"/>
          <w:numId w:val="4"/>
        </w:numPr>
      </w:pPr>
      <w:r>
        <w:t xml:space="preserve">Policies and procedures for resolving IDEA-related Single Audit findings for LEAs. </w:t>
      </w:r>
    </w:p>
    <w:p w14:paraId="1761DDEC" w14:textId="16D488F6" w:rsidR="005D453E" w:rsidRDefault="005D453E" w:rsidP="00AE1020">
      <w:pPr>
        <w:pStyle w:val="ListParagraph"/>
        <w:numPr>
          <w:ilvl w:val="0"/>
          <w:numId w:val="4"/>
        </w:numPr>
      </w:pPr>
      <w:r>
        <w:t xml:space="preserve">Summary of IDEA-related Single Audit findings for LEAs for prior two years. </w:t>
      </w:r>
    </w:p>
    <w:p w14:paraId="623F47D9" w14:textId="2E7031F5" w:rsidR="00694F40" w:rsidRDefault="005D453E" w:rsidP="00AE1020">
      <w:pPr>
        <w:pStyle w:val="ListParagraph"/>
        <w:numPr>
          <w:ilvl w:val="0"/>
          <w:numId w:val="4"/>
        </w:numPr>
      </w:pPr>
      <w:r>
        <w:t xml:space="preserve">Copies of subaward notifications sent to LEAs. </w:t>
      </w:r>
    </w:p>
    <w:p w14:paraId="255F34E0" w14:textId="0B6029E7" w:rsidR="00694F40" w:rsidRDefault="00694F40" w:rsidP="005D453E">
      <w:pPr>
        <w:pStyle w:val="ListParagraph"/>
        <w:spacing w:before="9000" w:after="60"/>
        <w:ind w:left="360"/>
        <w:contextualSpacing w:val="0"/>
      </w:pPr>
      <w:r>
        <w:t xml:space="preserve">This product was </w:t>
      </w:r>
      <w:r w:rsidR="00BB5CE3">
        <w:t xml:space="preserve">adapted </w:t>
      </w:r>
      <w:r>
        <w:t xml:space="preserve">under U.S. Department of Education, Office of Special Education Programs </w:t>
      </w:r>
      <w:proofErr w:type="gramStart"/>
      <w:r>
        <w:t>contracts</w:t>
      </w:r>
      <w:proofErr w:type="gramEnd"/>
      <w:r>
        <w:t xml:space="preserve"> Nos. H326R190001 (NCSI), H326P170001 (ECTA Center), H373Z190002 (DaSy), and H373Y190001 (IDC). The views expressed herein do not necessarily represent the positions or policies of the U.S. Department of Education. No official endorsement by the U.S. Department of Education of this product is intended or should be inferred.</w:t>
      </w:r>
    </w:p>
    <w:sectPr w:rsidR="00694F40" w:rsidSect="009418D8">
      <w:pgSz w:w="12240" w:h="15840" w:code="1"/>
      <w:pgMar w:top="9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EA07" w14:textId="77777777" w:rsidR="009418D8" w:rsidRDefault="009418D8">
      <w:pPr>
        <w:spacing w:after="0"/>
      </w:pPr>
      <w:r>
        <w:separator/>
      </w:r>
    </w:p>
  </w:endnote>
  <w:endnote w:type="continuationSeparator" w:id="0">
    <w:p w14:paraId="6CE5D593" w14:textId="77777777" w:rsidR="009418D8" w:rsidRDefault="009418D8">
      <w:pPr>
        <w:spacing w:after="0"/>
      </w:pPr>
      <w:r>
        <w:continuationSeparator/>
      </w:r>
    </w:p>
  </w:endnote>
  <w:endnote w:type="continuationNotice" w:id="1">
    <w:p w14:paraId="3FF97DF5" w14:textId="77777777" w:rsidR="009418D8" w:rsidRDefault="009418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18F5" w14:textId="77777777" w:rsidR="00003870" w:rsidRDefault="00003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2161" w14:textId="77777777" w:rsidR="00003870" w:rsidRDefault="00003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66C3" w14:textId="77777777" w:rsidR="00003870" w:rsidRDefault="0000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1CF4" w14:textId="77777777" w:rsidR="009418D8" w:rsidRDefault="009418D8">
      <w:pPr>
        <w:spacing w:after="0"/>
      </w:pPr>
      <w:r>
        <w:separator/>
      </w:r>
    </w:p>
  </w:footnote>
  <w:footnote w:type="continuationSeparator" w:id="0">
    <w:p w14:paraId="3A9E2F5B" w14:textId="77777777" w:rsidR="009418D8" w:rsidRDefault="009418D8">
      <w:pPr>
        <w:spacing w:after="0"/>
      </w:pPr>
      <w:r>
        <w:continuationSeparator/>
      </w:r>
    </w:p>
  </w:footnote>
  <w:footnote w:type="continuationNotice" w:id="1">
    <w:p w14:paraId="3F649B86" w14:textId="77777777" w:rsidR="009418D8" w:rsidRDefault="009418D8">
      <w:pPr>
        <w:spacing w:after="0"/>
      </w:pPr>
    </w:p>
  </w:footnote>
  <w:footnote w:id="2">
    <w:p w14:paraId="3131C303" w14:textId="29AA04D5" w:rsidR="004018DE" w:rsidRPr="009C7204" w:rsidRDefault="004018DE" w:rsidP="004018DE">
      <w:pPr>
        <w:spacing w:before="99"/>
        <w:ind w:left="120" w:hanging="1"/>
        <w:rPr>
          <w:rFonts w:cstheme="minorHAnsi"/>
          <w:sz w:val="20"/>
        </w:rPr>
      </w:pPr>
      <w:r>
        <w:rPr>
          <w:rStyle w:val="FootnoteReference"/>
        </w:rPr>
        <w:footnoteRef/>
      </w:r>
      <w:r>
        <w:rPr>
          <w:sz w:val="16"/>
          <w:szCs w:val="16"/>
        </w:rPr>
        <w:t xml:space="preserve"> </w:t>
      </w:r>
      <w:r w:rsidRPr="009C7204">
        <w:rPr>
          <w:rFonts w:cstheme="minorHAnsi"/>
          <w:sz w:val="20"/>
        </w:rPr>
        <w:t>Part 3485 is ED’s adoption of subparts A through I of the Office of Management and Budget guidance in 2 C.F.R. Part 180. ED conducts</w:t>
      </w:r>
      <w:r w:rsidRPr="009C7204">
        <w:rPr>
          <w:rFonts w:cstheme="minorHAnsi"/>
          <w:spacing w:val="-3"/>
          <w:sz w:val="20"/>
        </w:rPr>
        <w:t xml:space="preserve"> </w:t>
      </w:r>
      <w:r w:rsidRPr="009C7204">
        <w:rPr>
          <w:rFonts w:cstheme="minorHAnsi"/>
          <w:sz w:val="20"/>
        </w:rPr>
        <w:t>a</w:t>
      </w:r>
      <w:r w:rsidRPr="009C7204">
        <w:rPr>
          <w:rFonts w:cstheme="minorHAnsi"/>
          <w:spacing w:val="-2"/>
          <w:sz w:val="20"/>
        </w:rPr>
        <w:t xml:space="preserve"> </w:t>
      </w:r>
      <w:r w:rsidRPr="009C7204">
        <w:rPr>
          <w:rFonts w:cstheme="minorHAnsi"/>
          <w:sz w:val="20"/>
        </w:rPr>
        <w:t>review</w:t>
      </w:r>
      <w:r w:rsidRPr="009C7204">
        <w:rPr>
          <w:rFonts w:cstheme="minorHAnsi"/>
          <w:spacing w:val="-2"/>
          <w:sz w:val="20"/>
        </w:rPr>
        <w:t xml:space="preserve"> </w:t>
      </w:r>
      <w:r w:rsidRPr="009C7204">
        <w:rPr>
          <w:rFonts w:cstheme="minorHAnsi"/>
          <w:sz w:val="20"/>
        </w:rPr>
        <w:t>for</w:t>
      </w:r>
      <w:r w:rsidRPr="009C7204">
        <w:rPr>
          <w:rFonts w:cstheme="minorHAnsi"/>
          <w:spacing w:val="-4"/>
          <w:sz w:val="20"/>
        </w:rPr>
        <w:t xml:space="preserve"> </w:t>
      </w:r>
      <w:r w:rsidRPr="009C7204">
        <w:rPr>
          <w:rFonts w:cstheme="minorHAnsi"/>
          <w:sz w:val="20"/>
        </w:rPr>
        <w:t>grant</w:t>
      </w:r>
      <w:r w:rsidRPr="009C7204">
        <w:rPr>
          <w:rFonts w:cstheme="minorHAnsi"/>
          <w:spacing w:val="-5"/>
          <w:sz w:val="20"/>
        </w:rPr>
        <w:t xml:space="preserve"> </w:t>
      </w:r>
      <w:r w:rsidRPr="009C7204">
        <w:rPr>
          <w:rFonts w:cstheme="minorHAnsi"/>
          <w:sz w:val="20"/>
        </w:rPr>
        <w:t>organizations,</w:t>
      </w:r>
      <w:r w:rsidRPr="009C7204">
        <w:rPr>
          <w:rFonts w:cstheme="minorHAnsi"/>
          <w:spacing w:val="-1"/>
          <w:sz w:val="20"/>
        </w:rPr>
        <w:t xml:space="preserve"> </w:t>
      </w:r>
      <w:r w:rsidRPr="009C7204">
        <w:rPr>
          <w:rFonts w:cstheme="minorHAnsi"/>
          <w:sz w:val="20"/>
        </w:rPr>
        <w:t>grant</w:t>
      </w:r>
      <w:r w:rsidRPr="009C7204">
        <w:rPr>
          <w:rFonts w:cstheme="minorHAnsi"/>
          <w:spacing w:val="-2"/>
          <w:sz w:val="20"/>
        </w:rPr>
        <w:t xml:space="preserve"> </w:t>
      </w:r>
      <w:r w:rsidRPr="009C7204">
        <w:rPr>
          <w:rFonts w:cstheme="minorHAnsi"/>
          <w:sz w:val="20"/>
        </w:rPr>
        <w:t>key</w:t>
      </w:r>
      <w:r w:rsidRPr="009C7204">
        <w:rPr>
          <w:rFonts w:cstheme="minorHAnsi"/>
          <w:spacing w:val="-3"/>
          <w:sz w:val="20"/>
        </w:rPr>
        <w:t xml:space="preserve"> </w:t>
      </w:r>
      <w:r w:rsidRPr="009C7204">
        <w:rPr>
          <w:rFonts w:cstheme="minorHAnsi"/>
          <w:sz w:val="20"/>
        </w:rPr>
        <w:t>personnel,</w:t>
      </w:r>
      <w:r w:rsidRPr="009C7204">
        <w:rPr>
          <w:rFonts w:cstheme="minorHAnsi"/>
          <w:spacing w:val="-1"/>
          <w:sz w:val="20"/>
        </w:rPr>
        <w:t xml:space="preserve"> </w:t>
      </w:r>
      <w:r w:rsidRPr="009C7204">
        <w:rPr>
          <w:rFonts w:cstheme="minorHAnsi"/>
          <w:sz w:val="20"/>
        </w:rPr>
        <w:t>grant</w:t>
      </w:r>
      <w:r w:rsidRPr="009C7204">
        <w:rPr>
          <w:rFonts w:cstheme="minorHAnsi"/>
          <w:spacing w:val="-2"/>
          <w:sz w:val="20"/>
        </w:rPr>
        <w:t xml:space="preserve"> </w:t>
      </w:r>
      <w:r w:rsidRPr="009C7204">
        <w:rPr>
          <w:rFonts w:cstheme="minorHAnsi"/>
          <w:sz w:val="20"/>
        </w:rPr>
        <w:t>authorized</w:t>
      </w:r>
      <w:r w:rsidRPr="009C7204">
        <w:rPr>
          <w:rFonts w:cstheme="minorHAnsi"/>
          <w:spacing w:val="-3"/>
          <w:sz w:val="20"/>
        </w:rPr>
        <w:t xml:space="preserve"> </w:t>
      </w:r>
      <w:r w:rsidRPr="009C7204">
        <w:rPr>
          <w:rFonts w:cstheme="minorHAnsi"/>
          <w:sz w:val="20"/>
        </w:rPr>
        <w:t>officials,</w:t>
      </w:r>
      <w:r w:rsidRPr="009C7204">
        <w:rPr>
          <w:rFonts w:cstheme="minorHAnsi"/>
          <w:spacing w:val="-1"/>
          <w:sz w:val="20"/>
        </w:rPr>
        <w:t xml:space="preserve"> </w:t>
      </w:r>
      <w:r w:rsidRPr="009C7204">
        <w:rPr>
          <w:rFonts w:cstheme="minorHAnsi"/>
          <w:sz w:val="20"/>
        </w:rPr>
        <w:t>and</w:t>
      </w:r>
      <w:r w:rsidRPr="009C7204">
        <w:rPr>
          <w:rFonts w:cstheme="minorHAnsi"/>
          <w:spacing w:val="-1"/>
          <w:sz w:val="20"/>
        </w:rPr>
        <w:t xml:space="preserve"> </w:t>
      </w:r>
      <w:r w:rsidRPr="009C7204">
        <w:rPr>
          <w:rFonts w:cstheme="minorHAnsi"/>
          <w:sz w:val="20"/>
        </w:rPr>
        <w:t>grant</w:t>
      </w:r>
      <w:r w:rsidRPr="009C7204">
        <w:rPr>
          <w:rFonts w:cstheme="minorHAnsi"/>
          <w:spacing w:val="-2"/>
          <w:sz w:val="20"/>
        </w:rPr>
        <w:t xml:space="preserve"> </w:t>
      </w:r>
      <w:r w:rsidRPr="009C7204">
        <w:rPr>
          <w:rFonts w:cstheme="minorHAnsi"/>
          <w:sz w:val="20"/>
        </w:rPr>
        <w:t>applicants</w:t>
      </w:r>
      <w:r w:rsidRPr="009C7204">
        <w:rPr>
          <w:rFonts w:cstheme="minorHAnsi"/>
          <w:spacing w:val="-3"/>
          <w:sz w:val="20"/>
        </w:rPr>
        <w:t xml:space="preserve"> </w:t>
      </w:r>
      <w:r w:rsidRPr="009C7204">
        <w:rPr>
          <w:rFonts w:cstheme="minorHAnsi"/>
          <w:sz w:val="20"/>
        </w:rPr>
        <w:t>(before</w:t>
      </w:r>
      <w:r w:rsidRPr="009C7204">
        <w:rPr>
          <w:rFonts w:cstheme="minorHAnsi"/>
          <w:spacing w:val="-4"/>
          <w:sz w:val="20"/>
        </w:rPr>
        <w:t xml:space="preserve"> </w:t>
      </w:r>
      <w:r w:rsidRPr="009C7204">
        <w:rPr>
          <w:rFonts w:cstheme="minorHAnsi"/>
          <w:sz w:val="20"/>
        </w:rPr>
        <w:t>making</w:t>
      </w:r>
      <w:r w:rsidRPr="009C7204">
        <w:rPr>
          <w:rFonts w:cstheme="minorHAnsi"/>
          <w:spacing w:val="-1"/>
          <w:sz w:val="20"/>
        </w:rPr>
        <w:t xml:space="preserve"> </w:t>
      </w:r>
      <w:r w:rsidRPr="009C7204">
        <w:rPr>
          <w:rFonts w:cstheme="minorHAnsi"/>
          <w:sz w:val="20"/>
        </w:rPr>
        <w:t>a</w:t>
      </w:r>
      <w:r w:rsidRPr="009C7204">
        <w:rPr>
          <w:rFonts w:cstheme="minorHAnsi"/>
          <w:spacing w:val="-4"/>
          <w:sz w:val="20"/>
        </w:rPr>
        <w:t xml:space="preserve"> </w:t>
      </w:r>
      <w:r w:rsidRPr="009C7204">
        <w:rPr>
          <w:rFonts w:cstheme="minorHAnsi"/>
          <w:sz w:val="20"/>
        </w:rPr>
        <w:t>grant award) in the SAM Exclusions list that is available in SAM.gov. SEAs, before making a subaward, are required to do the same.</w:t>
      </w:r>
    </w:p>
    <w:p w14:paraId="67D8EA8F" w14:textId="5D1308A7" w:rsidR="00D87220" w:rsidRPr="00D87220" w:rsidRDefault="00D87220" w:rsidP="00D87220">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8458" w14:textId="77777777" w:rsidR="00003870" w:rsidRDefault="00003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F746" w14:textId="7AEDFFBF" w:rsidR="00656B9B" w:rsidRPr="00656B9B" w:rsidRDefault="00656B9B" w:rsidP="008D4EE6">
    <w:pPr>
      <w:pStyle w:val="Title"/>
      <w:keepNext/>
      <w:keepLines/>
      <w:pageBreakBefore/>
      <w:spacing w:line="240" w:lineRule="auto"/>
      <w:jc w:val="center"/>
      <w:rPr>
        <w:b/>
        <w:bCs/>
        <w:sz w:val="24"/>
        <w:szCs w:val="24"/>
      </w:rPr>
    </w:pPr>
    <w:r w:rsidRPr="00656B9B">
      <w:rPr>
        <w:b/>
        <w:bCs/>
        <w:sz w:val="24"/>
        <w:szCs w:val="24"/>
      </w:rPr>
      <w:t>Part B</w:t>
    </w:r>
    <w:r w:rsidR="00AD7F80">
      <w:rPr>
        <w:b/>
        <w:bCs/>
        <w:sz w:val="24"/>
        <w:szCs w:val="24"/>
      </w:rPr>
      <w:t xml:space="preserve"> Subrecipient Monitoring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87A1" w14:textId="77777777" w:rsidR="00003870" w:rsidRDefault="00003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6F51"/>
    <w:multiLevelType w:val="hybridMultilevel"/>
    <w:tmpl w:val="811C7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77149"/>
    <w:multiLevelType w:val="hybridMultilevel"/>
    <w:tmpl w:val="F24863DE"/>
    <w:lvl w:ilvl="0" w:tplc="0B306AF0">
      <w:start w:val="1"/>
      <w:numFmt w:val="upperLetter"/>
      <w:pStyle w:val="H2Numbered"/>
      <w:lvlText w:val="%1."/>
      <w:lvlJc w:val="left"/>
      <w:pPr>
        <w:ind w:left="360" w:hanging="360"/>
      </w:pPr>
      <w:rPr>
        <w:rFonts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A7DC0"/>
    <w:multiLevelType w:val="hybridMultilevel"/>
    <w:tmpl w:val="DA00E050"/>
    <w:lvl w:ilvl="0" w:tplc="E0B8B71C">
      <w:start w:val="1"/>
      <w:numFmt w:val="lowerLetter"/>
      <w:pStyle w:val="TABLECATEGORYTEX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E4A30"/>
    <w:multiLevelType w:val="hybridMultilevel"/>
    <w:tmpl w:val="9DB22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4C697A"/>
    <w:multiLevelType w:val="hybridMultilevel"/>
    <w:tmpl w:val="745AFDB4"/>
    <w:lvl w:ilvl="0" w:tplc="FFFFFFFF">
      <w:start w:val="1"/>
      <w:numFmt w:val="lowerLetter"/>
      <w:lvlText w:val="%1."/>
      <w:lvlJc w:val="left"/>
      <w:pPr>
        <w:ind w:left="720" w:hanging="360"/>
      </w:pPr>
    </w:lvl>
    <w:lvl w:ilvl="1" w:tplc="39C6D0EE">
      <w:start w:val="1"/>
      <w:numFmt w:val="lowerRoman"/>
      <w:lvlText w:val="%2."/>
      <w:lvlJc w:val="left"/>
      <w:pPr>
        <w:ind w:left="14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3294693">
    <w:abstractNumId w:val="1"/>
  </w:num>
  <w:num w:numId="2" w16cid:durableId="1589071081">
    <w:abstractNumId w:val="3"/>
  </w:num>
  <w:num w:numId="3" w16cid:durableId="399602973">
    <w:abstractNumId w:val="2"/>
  </w:num>
  <w:num w:numId="4" w16cid:durableId="981815731">
    <w:abstractNumId w:val="0"/>
  </w:num>
  <w:num w:numId="5" w16cid:durableId="1342779886">
    <w:abstractNumId w:val="2"/>
    <w:lvlOverride w:ilvl="0">
      <w:startOverride w:val="1"/>
    </w:lvlOverride>
  </w:num>
  <w:num w:numId="6" w16cid:durableId="1336835373">
    <w:abstractNumId w:val="2"/>
    <w:lvlOverride w:ilvl="0">
      <w:startOverride w:val="1"/>
    </w:lvlOverride>
  </w:num>
  <w:num w:numId="7" w16cid:durableId="65958205">
    <w:abstractNumId w:val="2"/>
    <w:lvlOverride w:ilvl="0">
      <w:startOverride w:val="1"/>
    </w:lvlOverride>
  </w:num>
  <w:num w:numId="8" w16cid:durableId="114003103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09"/>
    <w:rsid w:val="00000599"/>
    <w:rsid w:val="0000197A"/>
    <w:rsid w:val="0000346A"/>
    <w:rsid w:val="00003870"/>
    <w:rsid w:val="00004DA6"/>
    <w:rsid w:val="00004DB1"/>
    <w:rsid w:val="00014D63"/>
    <w:rsid w:val="00016531"/>
    <w:rsid w:val="00020D02"/>
    <w:rsid w:val="00022676"/>
    <w:rsid w:val="00023AF1"/>
    <w:rsid w:val="00024A6D"/>
    <w:rsid w:val="00037F3A"/>
    <w:rsid w:val="00045A3A"/>
    <w:rsid w:val="00050ACE"/>
    <w:rsid w:val="00054566"/>
    <w:rsid w:val="00054924"/>
    <w:rsid w:val="00060C65"/>
    <w:rsid w:val="00061763"/>
    <w:rsid w:val="00062D18"/>
    <w:rsid w:val="00066EC2"/>
    <w:rsid w:val="0007011B"/>
    <w:rsid w:val="00072390"/>
    <w:rsid w:val="00074B5C"/>
    <w:rsid w:val="00080CDD"/>
    <w:rsid w:val="00082495"/>
    <w:rsid w:val="00082867"/>
    <w:rsid w:val="00085A4A"/>
    <w:rsid w:val="000906B0"/>
    <w:rsid w:val="000933EF"/>
    <w:rsid w:val="000A0F6F"/>
    <w:rsid w:val="000A11B7"/>
    <w:rsid w:val="000B64FD"/>
    <w:rsid w:val="000B789F"/>
    <w:rsid w:val="000C61A9"/>
    <w:rsid w:val="000E00CD"/>
    <w:rsid w:val="000E7207"/>
    <w:rsid w:val="000F0C76"/>
    <w:rsid w:val="000F0D7A"/>
    <w:rsid w:val="000F1CD9"/>
    <w:rsid w:val="000F2623"/>
    <w:rsid w:val="000F3299"/>
    <w:rsid w:val="000F5A70"/>
    <w:rsid w:val="000F7B77"/>
    <w:rsid w:val="001000DC"/>
    <w:rsid w:val="001010F9"/>
    <w:rsid w:val="001036C2"/>
    <w:rsid w:val="001078D1"/>
    <w:rsid w:val="00116ECE"/>
    <w:rsid w:val="0012140C"/>
    <w:rsid w:val="00122005"/>
    <w:rsid w:val="001227DB"/>
    <w:rsid w:val="00122ED0"/>
    <w:rsid w:val="00125BA8"/>
    <w:rsid w:val="00134322"/>
    <w:rsid w:val="00134D4C"/>
    <w:rsid w:val="0013556C"/>
    <w:rsid w:val="00136CE1"/>
    <w:rsid w:val="00150FC2"/>
    <w:rsid w:val="00155D20"/>
    <w:rsid w:val="00155EB0"/>
    <w:rsid w:val="001577DE"/>
    <w:rsid w:val="00160E9F"/>
    <w:rsid w:val="001649B2"/>
    <w:rsid w:val="00166A12"/>
    <w:rsid w:val="00167EBD"/>
    <w:rsid w:val="00170FDE"/>
    <w:rsid w:val="001720C3"/>
    <w:rsid w:val="0018779E"/>
    <w:rsid w:val="0019089E"/>
    <w:rsid w:val="0019201B"/>
    <w:rsid w:val="00193F6C"/>
    <w:rsid w:val="001951E1"/>
    <w:rsid w:val="00196FE6"/>
    <w:rsid w:val="001A0F8F"/>
    <w:rsid w:val="001A21DD"/>
    <w:rsid w:val="001B445A"/>
    <w:rsid w:val="001C474B"/>
    <w:rsid w:val="001D054C"/>
    <w:rsid w:val="001D36EA"/>
    <w:rsid w:val="001D37A2"/>
    <w:rsid w:val="001D5622"/>
    <w:rsid w:val="001D6B18"/>
    <w:rsid w:val="001E0EDF"/>
    <w:rsid w:val="001E14DE"/>
    <w:rsid w:val="001E7C4C"/>
    <w:rsid w:val="001F3DEB"/>
    <w:rsid w:val="001F5873"/>
    <w:rsid w:val="001F698C"/>
    <w:rsid w:val="001F7FA8"/>
    <w:rsid w:val="00201C10"/>
    <w:rsid w:val="0022105E"/>
    <w:rsid w:val="002245D1"/>
    <w:rsid w:val="0022516F"/>
    <w:rsid w:val="00226B84"/>
    <w:rsid w:val="0023029F"/>
    <w:rsid w:val="00234155"/>
    <w:rsid w:val="00236726"/>
    <w:rsid w:val="0024179D"/>
    <w:rsid w:val="00244E6A"/>
    <w:rsid w:val="00246A67"/>
    <w:rsid w:val="00246E67"/>
    <w:rsid w:val="00251648"/>
    <w:rsid w:val="00252433"/>
    <w:rsid w:val="002528A7"/>
    <w:rsid w:val="00267625"/>
    <w:rsid w:val="00276131"/>
    <w:rsid w:val="00282BC4"/>
    <w:rsid w:val="00283681"/>
    <w:rsid w:val="00283DE4"/>
    <w:rsid w:val="0028531A"/>
    <w:rsid w:val="002940AA"/>
    <w:rsid w:val="002A1A4B"/>
    <w:rsid w:val="002A3C79"/>
    <w:rsid w:val="002A7E09"/>
    <w:rsid w:val="002B00C2"/>
    <w:rsid w:val="002B416B"/>
    <w:rsid w:val="002B553E"/>
    <w:rsid w:val="002B5D8F"/>
    <w:rsid w:val="002C01AC"/>
    <w:rsid w:val="002C42FF"/>
    <w:rsid w:val="002C452D"/>
    <w:rsid w:val="002C6389"/>
    <w:rsid w:val="002D1298"/>
    <w:rsid w:val="002D2EC7"/>
    <w:rsid w:val="002D4C19"/>
    <w:rsid w:val="002E0CBD"/>
    <w:rsid w:val="002E18E4"/>
    <w:rsid w:val="002E7A39"/>
    <w:rsid w:val="002F0ABD"/>
    <w:rsid w:val="002F4F64"/>
    <w:rsid w:val="002F53F5"/>
    <w:rsid w:val="002F64E5"/>
    <w:rsid w:val="002F69FA"/>
    <w:rsid w:val="00301833"/>
    <w:rsid w:val="00310377"/>
    <w:rsid w:val="003114AC"/>
    <w:rsid w:val="00317D44"/>
    <w:rsid w:val="0032124B"/>
    <w:rsid w:val="00323C18"/>
    <w:rsid w:val="003274B8"/>
    <w:rsid w:val="00327523"/>
    <w:rsid w:val="00327F80"/>
    <w:rsid w:val="003342B9"/>
    <w:rsid w:val="00334D2D"/>
    <w:rsid w:val="00343E0C"/>
    <w:rsid w:val="00351DF4"/>
    <w:rsid w:val="00351FB4"/>
    <w:rsid w:val="003538B9"/>
    <w:rsid w:val="00360620"/>
    <w:rsid w:val="00363493"/>
    <w:rsid w:val="003638E7"/>
    <w:rsid w:val="00364171"/>
    <w:rsid w:val="00367067"/>
    <w:rsid w:val="00367828"/>
    <w:rsid w:val="00367F91"/>
    <w:rsid w:val="00371072"/>
    <w:rsid w:val="00372B71"/>
    <w:rsid w:val="00377A54"/>
    <w:rsid w:val="0038484B"/>
    <w:rsid w:val="00387B5A"/>
    <w:rsid w:val="00387E2D"/>
    <w:rsid w:val="003924B3"/>
    <w:rsid w:val="00392D67"/>
    <w:rsid w:val="00395375"/>
    <w:rsid w:val="003A3362"/>
    <w:rsid w:val="003A4D07"/>
    <w:rsid w:val="003A7CBD"/>
    <w:rsid w:val="003B0969"/>
    <w:rsid w:val="003B43E5"/>
    <w:rsid w:val="003C18FC"/>
    <w:rsid w:val="003C313B"/>
    <w:rsid w:val="003C3B27"/>
    <w:rsid w:val="003C5131"/>
    <w:rsid w:val="003C59B3"/>
    <w:rsid w:val="003D13AA"/>
    <w:rsid w:val="003D39E8"/>
    <w:rsid w:val="003D42D2"/>
    <w:rsid w:val="003E17E5"/>
    <w:rsid w:val="003F177D"/>
    <w:rsid w:val="003F2B40"/>
    <w:rsid w:val="003F4226"/>
    <w:rsid w:val="003F6A79"/>
    <w:rsid w:val="003F6D33"/>
    <w:rsid w:val="004018DE"/>
    <w:rsid w:val="004047C8"/>
    <w:rsid w:val="004076A6"/>
    <w:rsid w:val="00415DA5"/>
    <w:rsid w:val="004221C2"/>
    <w:rsid w:val="00425ADE"/>
    <w:rsid w:val="00427270"/>
    <w:rsid w:val="00433A93"/>
    <w:rsid w:val="00435522"/>
    <w:rsid w:val="00437E74"/>
    <w:rsid w:val="004411B5"/>
    <w:rsid w:val="00442DC8"/>
    <w:rsid w:val="00466CFD"/>
    <w:rsid w:val="00470A48"/>
    <w:rsid w:val="004721A3"/>
    <w:rsid w:val="00473499"/>
    <w:rsid w:val="00474A0E"/>
    <w:rsid w:val="0047554F"/>
    <w:rsid w:val="004B51BF"/>
    <w:rsid w:val="004B6519"/>
    <w:rsid w:val="004C0D29"/>
    <w:rsid w:val="004C15C2"/>
    <w:rsid w:val="004C4078"/>
    <w:rsid w:val="004C670D"/>
    <w:rsid w:val="004D1CAE"/>
    <w:rsid w:val="004E0458"/>
    <w:rsid w:val="004E266C"/>
    <w:rsid w:val="004E43B6"/>
    <w:rsid w:val="004E790D"/>
    <w:rsid w:val="004F51CF"/>
    <w:rsid w:val="004F652E"/>
    <w:rsid w:val="00501256"/>
    <w:rsid w:val="005028C4"/>
    <w:rsid w:val="00503D04"/>
    <w:rsid w:val="0053179D"/>
    <w:rsid w:val="00532C3E"/>
    <w:rsid w:val="0053741F"/>
    <w:rsid w:val="0054235B"/>
    <w:rsid w:val="0054260B"/>
    <w:rsid w:val="00543579"/>
    <w:rsid w:val="005462A0"/>
    <w:rsid w:val="00551B13"/>
    <w:rsid w:val="00556B8C"/>
    <w:rsid w:val="00562F56"/>
    <w:rsid w:val="005640DB"/>
    <w:rsid w:val="005676B8"/>
    <w:rsid w:val="00567821"/>
    <w:rsid w:val="005704A3"/>
    <w:rsid w:val="0058404A"/>
    <w:rsid w:val="0058657D"/>
    <w:rsid w:val="005A3EE2"/>
    <w:rsid w:val="005A64C0"/>
    <w:rsid w:val="005B1FB5"/>
    <w:rsid w:val="005B30D4"/>
    <w:rsid w:val="005B3AA6"/>
    <w:rsid w:val="005B61BF"/>
    <w:rsid w:val="005C3ACF"/>
    <w:rsid w:val="005D244F"/>
    <w:rsid w:val="005D2EF5"/>
    <w:rsid w:val="005D453E"/>
    <w:rsid w:val="005D7137"/>
    <w:rsid w:val="005D7526"/>
    <w:rsid w:val="005D7F12"/>
    <w:rsid w:val="005E3449"/>
    <w:rsid w:val="005F4D81"/>
    <w:rsid w:val="005F4DC5"/>
    <w:rsid w:val="005F6510"/>
    <w:rsid w:val="005F7695"/>
    <w:rsid w:val="005F76DC"/>
    <w:rsid w:val="005F7BFE"/>
    <w:rsid w:val="00602B32"/>
    <w:rsid w:val="00606790"/>
    <w:rsid w:val="00612531"/>
    <w:rsid w:val="00616066"/>
    <w:rsid w:val="00620DA2"/>
    <w:rsid w:val="00620FB4"/>
    <w:rsid w:val="00624AD3"/>
    <w:rsid w:val="00624BF5"/>
    <w:rsid w:val="00624E13"/>
    <w:rsid w:val="00631B8F"/>
    <w:rsid w:val="00632428"/>
    <w:rsid w:val="00632604"/>
    <w:rsid w:val="006372D2"/>
    <w:rsid w:val="006406BE"/>
    <w:rsid w:val="00642459"/>
    <w:rsid w:val="0064471C"/>
    <w:rsid w:val="00644833"/>
    <w:rsid w:val="006449B4"/>
    <w:rsid w:val="0064733F"/>
    <w:rsid w:val="006508D5"/>
    <w:rsid w:val="00650AB9"/>
    <w:rsid w:val="00654406"/>
    <w:rsid w:val="00656B9B"/>
    <w:rsid w:val="0066187A"/>
    <w:rsid w:val="006640B4"/>
    <w:rsid w:val="00666A81"/>
    <w:rsid w:val="0067698A"/>
    <w:rsid w:val="0068031D"/>
    <w:rsid w:val="00681B20"/>
    <w:rsid w:val="00682860"/>
    <w:rsid w:val="00685DB3"/>
    <w:rsid w:val="0069249E"/>
    <w:rsid w:val="00692620"/>
    <w:rsid w:val="00694F40"/>
    <w:rsid w:val="006A10A7"/>
    <w:rsid w:val="006A27FF"/>
    <w:rsid w:val="006A33E3"/>
    <w:rsid w:val="006B1F46"/>
    <w:rsid w:val="006B4884"/>
    <w:rsid w:val="006B520E"/>
    <w:rsid w:val="006B58B9"/>
    <w:rsid w:val="006B6ACC"/>
    <w:rsid w:val="006C3A2E"/>
    <w:rsid w:val="006C6134"/>
    <w:rsid w:val="006C7C49"/>
    <w:rsid w:val="006D39B6"/>
    <w:rsid w:val="006D4C05"/>
    <w:rsid w:val="006D7C7D"/>
    <w:rsid w:val="006D7E43"/>
    <w:rsid w:val="006E234A"/>
    <w:rsid w:val="006E3A09"/>
    <w:rsid w:val="006F0A5C"/>
    <w:rsid w:val="00704209"/>
    <w:rsid w:val="00715995"/>
    <w:rsid w:val="00722006"/>
    <w:rsid w:val="0072548E"/>
    <w:rsid w:val="00727548"/>
    <w:rsid w:val="00736E04"/>
    <w:rsid w:val="00740904"/>
    <w:rsid w:val="007433A0"/>
    <w:rsid w:val="00745557"/>
    <w:rsid w:val="00747EE7"/>
    <w:rsid w:val="0075011B"/>
    <w:rsid w:val="00750607"/>
    <w:rsid w:val="007512BC"/>
    <w:rsid w:val="0075414A"/>
    <w:rsid w:val="00755FED"/>
    <w:rsid w:val="007629E6"/>
    <w:rsid w:val="00762CB4"/>
    <w:rsid w:val="007643F7"/>
    <w:rsid w:val="00777238"/>
    <w:rsid w:val="00785CAF"/>
    <w:rsid w:val="00791943"/>
    <w:rsid w:val="00793C77"/>
    <w:rsid w:val="007A33F1"/>
    <w:rsid w:val="007A6FB7"/>
    <w:rsid w:val="007B0349"/>
    <w:rsid w:val="007B3B8E"/>
    <w:rsid w:val="007B40C2"/>
    <w:rsid w:val="007B4BC8"/>
    <w:rsid w:val="007B68FE"/>
    <w:rsid w:val="007B75FE"/>
    <w:rsid w:val="007C3C4B"/>
    <w:rsid w:val="007D197C"/>
    <w:rsid w:val="007D2758"/>
    <w:rsid w:val="007D6050"/>
    <w:rsid w:val="007E50A9"/>
    <w:rsid w:val="007E5312"/>
    <w:rsid w:val="007F1FFB"/>
    <w:rsid w:val="0080239F"/>
    <w:rsid w:val="00804BD8"/>
    <w:rsid w:val="00807181"/>
    <w:rsid w:val="008073EF"/>
    <w:rsid w:val="00807FAD"/>
    <w:rsid w:val="008175A3"/>
    <w:rsid w:val="0082114C"/>
    <w:rsid w:val="00830FBB"/>
    <w:rsid w:val="008356E2"/>
    <w:rsid w:val="00835BC0"/>
    <w:rsid w:val="00836D73"/>
    <w:rsid w:val="008375F6"/>
    <w:rsid w:val="008407C9"/>
    <w:rsid w:val="0084429A"/>
    <w:rsid w:val="008443BF"/>
    <w:rsid w:val="00851402"/>
    <w:rsid w:val="0085468F"/>
    <w:rsid w:val="008601D5"/>
    <w:rsid w:val="008615EC"/>
    <w:rsid w:val="00863CD0"/>
    <w:rsid w:val="00865E4D"/>
    <w:rsid w:val="00874A3E"/>
    <w:rsid w:val="008844D7"/>
    <w:rsid w:val="00894D01"/>
    <w:rsid w:val="00895863"/>
    <w:rsid w:val="00896E00"/>
    <w:rsid w:val="008A5C6F"/>
    <w:rsid w:val="008B4407"/>
    <w:rsid w:val="008B742C"/>
    <w:rsid w:val="008B7E1D"/>
    <w:rsid w:val="008C4344"/>
    <w:rsid w:val="008C7B42"/>
    <w:rsid w:val="008C7F45"/>
    <w:rsid w:val="008D4EE6"/>
    <w:rsid w:val="008E0D44"/>
    <w:rsid w:val="008E26DA"/>
    <w:rsid w:val="008E2A1F"/>
    <w:rsid w:val="008E611D"/>
    <w:rsid w:val="008F0E7E"/>
    <w:rsid w:val="009168C7"/>
    <w:rsid w:val="009172F5"/>
    <w:rsid w:val="00920793"/>
    <w:rsid w:val="009225D4"/>
    <w:rsid w:val="00922FF8"/>
    <w:rsid w:val="00925D39"/>
    <w:rsid w:val="00925E82"/>
    <w:rsid w:val="00930515"/>
    <w:rsid w:val="00930EC5"/>
    <w:rsid w:val="00932F9D"/>
    <w:rsid w:val="00935A8A"/>
    <w:rsid w:val="00935DB6"/>
    <w:rsid w:val="00940F9F"/>
    <w:rsid w:val="009418D8"/>
    <w:rsid w:val="00944836"/>
    <w:rsid w:val="009461D8"/>
    <w:rsid w:val="00946E30"/>
    <w:rsid w:val="00950401"/>
    <w:rsid w:val="00952474"/>
    <w:rsid w:val="0095293E"/>
    <w:rsid w:val="00954FE2"/>
    <w:rsid w:val="009553DC"/>
    <w:rsid w:val="00960784"/>
    <w:rsid w:val="00965A99"/>
    <w:rsid w:val="0097068A"/>
    <w:rsid w:val="00974B6A"/>
    <w:rsid w:val="009751B1"/>
    <w:rsid w:val="00981D78"/>
    <w:rsid w:val="0098209C"/>
    <w:rsid w:val="009823DD"/>
    <w:rsid w:val="00985BB9"/>
    <w:rsid w:val="009876A0"/>
    <w:rsid w:val="009878FE"/>
    <w:rsid w:val="00991B83"/>
    <w:rsid w:val="00993433"/>
    <w:rsid w:val="00994A0A"/>
    <w:rsid w:val="009A590A"/>
    <w:rsid w:val="009A7450"/>
    <w:rsid w:val="009B1522"/>
    <w:rsid w:val="009B1EE6"/>
    <w:rsid w:val="009B2C3F"/>
    <w:rsid w:val="009D45AF"/>
    <w:rsid w:val="009D6055"/>
    <w:rsid w:val="009D7FDA"/>
    <w:rsid w:val="009E1759"/>
    <w:rsid w:val="009E7201"/>
    <w:rsid w:val="009F0963"/>
    <w:rsid w:val="009F58E4"/>
    <w:rsid w:val="009F67BE"/>
    <w:rsid w:val="00A01472"/>
    <w:rsid w:val="00A02DEF"/>
    <w:rsid w:val="00A10368"/>
    <w:rsid w:val="00A10CF0"/>
    <w:rsid w:val="00A12000"/>
    <w:rsid w:val="00A217EF"/>
    <w:rsid w:val="00A25B4A"/>
    <w:rsid w:val="00A27411"/>
    <w:rsid w:val="00A3671E"/>
    <w:rsid w:val="00A424DB"/>
    <w:rsid w:val="00A4391B"/>
    <w:rsid w:val="00A443BE"/>
    <w:rsid w:val="00A453EB"/>
    <w:rsid w:val="00A51714"/>
    <w:rsid w:val="00A55900"/>
    <w:rsid w:val="00A55FE7"/>
    <w:rsid w:val="00A62939"/>
    <w:rsid w:val="00A64BAD"/>
    <w:rsid w:val="00A65B9F"/>
    <w:rsid w:val="00A70686"/>
    <w:rsid w:val="00A71BE9"/>
    <w:rsid w:val="00A7248F"/>
    <w:rsid w:val="00A8656F"/>
    <w:rsid w:val="00A8737A"/>
    <w:rsid w:val="00A90B20"/>
    <w:rsid w:val="00A92F11"/>
    <w:rsid w:val="00A942CF"/>
    <w:rsid w:val="00A974C7"/>
    <w:rsid w:val="00AA025D"/>
    <w:rsid w:val="00AA4639"/>
    <w:rsid w:val="00AB46F6"/>
    <w:rsid w:val="00AB67DE"/>
    <w:rsid w:val="00AB7233"/>
    <w:rsid w:val="00AB7C55"/>
    <w:rsid w:val="00AC4B77"/>
    <w:rsid w:val="00AC4BE6"/>
    <w:rsid w:val="00AD4497"/>
    <w:rsid w:val="00AD7F80"/>
    <w:rsid w:val="00AE1020"/>
    <w:rsid w:val="00AE256D"/>
    <w:rsid w:val="00AE3C3E"/>
    <w:rsid w:val="00AE4D2C"/>
    <w:rsid w:val="00AE5554"/>
    <w:rsid w:val="00AF0069"/>
    <w:rsid w:val="00AF306E"/>
    <w:rsid w:val="00AF541A"/>
    <w:rsid w:val="00AF687F"/>
    <w:rsid w:val="00AF7ACB"/>
    <w:rsid w:val="00B026E5"/>
    <w:rsid w:val="00B05BEC"/>
    <w:rsid w:val="00B10997"/>
    <w:rsid w:val="00B1155A"/>
    <w:rsid w:val="00B143F7"/>
    <w:rsid w:val="00B14FB8"/>
    <w:rsid w:val="00B2202D"/>
    <w:rsid w:val="00B247F3"/>
    <w:rsid w:val="00B26A79"/>
    <w:rsid w:val="00B30846"/>
    <w:rsid w:val="00B30E9B"/>
    <w:rsid w:val="00B41A79"/>
    <w:rsid w:val="00B425C3"/>
    <w:rsid w:val="00B4278B"/>
    <w:rsid w:val="00B43B21"/>
    <w:rsid w:val="00B4403D"/>
    <w:rsid w:val="00B557E8"/>
    <w:rsid w:val="00B5772D"/>
    <w:rsid w:val="00B6133D"/>
    <w:rsid w:val="00B61B68"/>
    <w:rsid w:val="00B654F3"/>
    <w:rsid w:val="00B72DFF"/>
    <w:rsid w:val="00B732AE"/>
    <w:rsid w:val="00B74F4F"/>
    <w:rsid w:val="00B758DF"/>
    <w:rsid w:val="00B77E9E"/>
    <w:rsid w:val="00B83A8F"/>
    <w:rsid w:val="00B878C2"/>
    <w:rsid w:val="00B91A28"/>
    <w:rsid w:val="00B94714"/>
    <w:rsid w:val="00B9521A"/>
    <w:rsid w:val="00B97DD9"/>
    <w:rsid w:val="00BA128D"/>
    <w:rsid w:val="00BA5FE4"/>
    <w:rsid w:val="00BA61D1"/>
    <w:rsid w:val="00BB5CE3"/>
    <w:rsid w:val="00BC20CE"/>
    <w:rsid w:val="00BC79B8"/>
    <w:rsid w:val="00BD1948"/>
    <w:rsid w:val="00BD2467"/>
    <w:rsid w:val="00BD5F93"/>
    <w:rsid w:val="00BD6601"/>
    <w:rsid w:val="00BF0F23"/>
    <w:rsid w:val="00BF1DAB"/>
    <w:rsid w:val="00BF1FBB"/>
    <w:rsid w:val="00C01A11"/>
    <w:rsid w:val="00C03090"/>
    <w:rsid w:val="00C0491C"/>
    <w:rsid w:val="00C059A1"/>
    <w:rsid w:val="00C16CDB"/>
    <w:rsid w:val="00C176CC"/>
    <w:rsid w:val="00C21193"/>
    <w:rsid w:val="00C253AE"/>
    <w:rsid w:val="00C26934"/>
    <w:rsid w:val="00C30205"/>
    <w:rsid w:val="00C310C9"/>
    <w:rsid w:val="00C31C5C"/>
    <w:rsid w:val="00C340FE"/>
    <w:rsid w:val="00C36B65"/>
    <w:rsid w:val="00C44B61"/>
    <w:rsid w:val="00C47634"/>
    <w:rsid w:val="00C5282F"/>
    <w:rsid w:val="00C539A4"/>
    <w:rsid w:val="00C5591C"/>
    <w:rsid w:val="00C566BD"/>
    <w:rsid w:val="00C56A54"/>
    <w:rsid w:val="00C57A3F"/>
    <w:rsid w:val="00C60C12"/>
    <w:rsid w:val="00C631A6"/>
    <w:rsid w:val="00C6531E"/>
    <w:rsid w:val="00C6550C"/>
    <w:rsid w:val="00C6571B"/>
    <w:rsid w:val="00C81F79"/>
    <w:rsid w:val="00C839BC"/>
    <w:rsid w:val="00C83B99"/>
    <w:rsid w:val="00C86930"/>
    <w:rsid w:val="00C87DA7"/>
    <w:rsid w:val="00C87ED5"/>
    <w:rsid w:val="00C920E7"/>
    <w:rsid w:val="00C940F6"/>
    <w:rsid w:val="00C94783"/>
    <w:rsid w:val="00C95B6C"/>
    <w:rsid w:val="00C95C96"/>
    <w:rsid w:val="00CA52D4"/>
    <w:rsid w:val="00CB0E48"/>
    <w:rsid w:val="00CC63F7"/>
    <w:rsid w:val="00CC74B0"/>
    <w:rsid w:val="00CC7B65"/>
    <w:rsid w:val="00CD05B9"/>
    <w:rsid w:val="00CD355B"/>
    <w:rsid w:val="00CE2129"/>
    <w:rsid w:val="00CE21E7"/>
    <w:rsid w:val="00CE2AFF"/>
    <w:rsid w:val="00CE2B19"/>
    <w:rsid w:val="00CE79ED"/>
    <w:rsid w:val="00CF3946"/>
    <w:rsid w:val="00D03430"/>
    <w:rsid w:val="00D06309"/>
    <w:rsid w:val="00D078BA"/>
    <w:rsid w:val="00D108DF"/>
    <w:rsid w:val="00D12115"/>
    <w:rsid w:val="00D166D8"/>
    <w:rsid w:val="00D2214D"/>
    <w:rsid w:val="00D23085"/>
    <w:rsid w:val="00D2493B"/>
    <w:rsid w:val="00D253B6"/>
    <w:rsid w:val="00D267D2"/>
    <w:rsid w:val="00D41D22"/>
    <w:rsid w:val="00D474B3"/>
    <w:rsid w:val="00D53877"/>
    <w:rsid w:val="00D55DA3"/>
    <w:rsid w:val="00D656AC"/>
    <w:rsid w:val="00D67171"/>
    <w:rsid w:val="00D761A4"/>
    <w:rsid w:val="00D8064C"/>
    <w:rsid w:val="00D81641"/>
    <w:rsid w:val="00D87220"/>
    <w:rsid w:val="00D87CC6"/>
    <w:rsid w:val="00D9417E"/>
    <w:rsid w:val="00D94D4F"/>
    <w:rsid w:val="00D96E55"/>
    <w:rsid w:val="00DA183D"/>
    <w:rsid w:val="00DA55CA"/>
    <w:rsid w:val="00DA7739"/>
    <w:rsid w:val="00DB24E5"/>
    <w:rsid w:val="00DB435E"/>
    <w:rsid w:val="00DB4F24"/>
    <w:rsid w:val="00DB56B5"/>
    <w:rsid w:val="00DB66C4"/>
    <w:rsid w:val="00DB6BC2"/>
    <w:rsid w:val="00DC03D8"/>
    <w:rsid w:val="00DC333B"/>
    <w:rsid w:val="00DC44D4"/>
    <w:rsid w:val="00DC50A9"/>
    <w:rsid w:val="00DC5281"/>
    <w:rsid w:val="00DC5BFE"/>
    <w:rsid w:val="00DC7199"/>
    <w:rsid w:val="00DD02F3"/>
    <w:rsid w:val="00DD080C"/>
    <w:rsid w:val="00DE03F4"/>
    <w:rsid w:val="00DE0520"/>
    <w:rsid w:val="00DE23AD"/>
    <w:rsid w:val="00DE4107"/>
    <w:rsid w:val="00DE4D2F"/>
    <w:rsid w:val="00DE7B92"/>
    <w:rsid w:val="00DF00E0"/>
    <w:rsid w:val="00DF151D"/>
    <w:rsid w:val="00DF6417"/>
    <w:rsid w:val="00E019CB"/>
    <w:rsid w:val="00E073DB"/>
    <w:rsid w:val="00E17594"/>
    <w:rsid w:val="00E246B2"/>
    <w:rsid w:val="00E273E6"/>
    <w:rsid w:val="00E3195C"/>
    <w:rsid w:val="00E363BF"/>
    <w:rsid w:val="00E43F0F"/>
    <w:rsid w:val="00E4652C"/>
    <w:rsid w:val="00E46610"/>
    <w:rsid w:val="00E46F9C"/>
    <w:rsid w:val="00E556E8"/>
    <w:rsid w:val="00E55F9E"/>
    <w:rsid w:val="00E57067"/>
    <w:rsid w:val="00E57B41"/>
    <w:rsid w:val="00E6247E"/>
    <w:rsid w:val="00E63718"/>
    <w:rsid w:val="00E64601"/>
    <w:rsid w:val="00E71CC3"/>
    <w:rsid w:val="00E74139"/>
    <w:rsid w:val="00E75B83"/>
    <w:rsid w:val="00E80769"/>
    <w:rsid w:val="00E81ECE"/>
    <w:rsid w:val="00E823B6"/>
    <w:rsid w:val="00E83490"/>
    <w:rsid w:val="00E83BB7"/>
    <w:rsid w:val="00E84488"/>
    <w:rsid w:val="00E85314"/>
    <w:rsid w:val="00E905DD"/>
    <w:rsid w:val="00EC064B"/>
    <w:rsid w:val="00EC7503"/>
    <w:rsid w:val="00EE064C"/>
    <w:rsid w:val="00EE1C14"/>
    <w:rsid w:val="00EE2E84"/>
    <w:rsid w:val="00EF23BB"/>
    <w:rsid w:val="00EF4901"/>
    <w:rsid w:val="00EF6C71"/>
    <w:rsid w:val="00EF6E4D"/>
    <w:rsid w:val="00F029A6"/>
    <w:rsid w:val="00F04B61"/>
    <w:rsid w:val="00F07470"/>
    <w:rsid w:val="00F1009D"/>
    <w:rsid w:val="00F114E6"/>
    <w:rsid w:val="00F13529"/>
    <w:rsid w:val="00F137B1"/>
    <w:rsid w:val="00F162F2"/>
    <w:rsid w:val="00F16F7E"/>
    <w:rsid w:val="00F217F1"/>
    <w:rsid w:val="00F233A0"/>
    <w:rsid w:val="00F24D29"/>
    <w:rsid w:val="00F27CD3"/>
    <w:rsid w:val="00F3409B"/>
    <w:rsid w:val="00F35C88"/>
    <w:rsid w:val="00F36C98"/>
    <w:rsid w:val="00F4334C"/>
    <w:rsid w:val="00F43AD0"/>
    <w:rsid w:val="00F44AD7"/>
    <w:rsid w:val="00F51427"/>
    <w:rsid w:val="00F53A75"/>
    <w:rsid w:val="00F562A2"/>
    <w:rsid w:val="00F5748F"/>
    <w:rsid w:val="00F62081"/>
    <w:rsid w:val="00F6257A"/>
    <w:rsid w:val="00F6270A"/>
    <w:rsid w:val="00F645D6"/>
    <w:rsid w:val="00F77F68"/>
    <w:rsid w:val="00F83B7C"/>
    <w:rsid w:val="00F84E57"/>
    <w:rsid w:val="00F873E8"/>
    <w:rsid w:val="00F93DFB"/>
    <w:rsid w:val="00F97D5A"/>
    <w:rsid w:val="00FA1071"/>
    <w:rsid w:val="00FB4472"/>
    <w:rsid w:val="00FB5ADB"/>
    <w:rsid w:val="00FB687A"/>
    <w:rsid w:val="00FC4629"/>
    <w:rsid w:val="00FC4817"/>
    <w:rsid w:val="00FD5043"/>
    <w:rsid w:val="00FD514F"/>
    <w:rsid w:val="00FD6123"/>
    <w:rsid w:val="00FF79E4"/>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EBD4C"/>
  <w15:chartTrackingRefBased/>
  <w15:docId w15:val="{55C93AFA-4AB0-4EF8-8B4F-FC200D2D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D22"/>
    <w:pPr>
      <w:spacing w:after="120" w:line="240" w:lineRule="auto"/>
    </w:pPr>
    <w:rPr>
      <w:rFonts w:eastAsiaTheme="minorEastAsia"/>
    </w:rPr>
  </w:style>
  <w:style w:type="paragraph" w:styleId="Heading1">
    <w:name w:val="heading 1"/>
    <w:basedOn w:val="Normal"/>
    <w:next w:val="Normal"/>
    <w:link w:val="Heading1Char"/>
    <w:uiPriority w:val="9"/>
    <w:qFormat/>
    <w:rsid w:val="006508D5"/>
    <w:pPr>
      <w:keepNext/>
      <w:keepLines/>
      <w:spacing w:before="24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E3A0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E3A0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A64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A64C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D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E3A0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E3A09"/>
    <w:rPr>
      <w:rFonts w:asciiTheme="majorHAnsi" w:eastAsiaTheme="majorEastAsia" w:hAnsiTheme="majorHAnsi" w:cstheme="majorBidi"/>
      <w:b/>
      <w:bCs/>
      <w:color w:val="4472C4" w:themeColor="accent1"/>
    </w:rPr>
  </w:style>
  <w:style w:type="paragraph" w:styleId="IntenseQuote">
    <w:name w:val="Intense Quote"/>
    <w:basedOn w:val="Normal"/>
    <w:next w:val="Normal"/>
    <w:link w:val="IntenseQuoteChar"/>
    <w:uiPriority w:val="30"/>
    <w:qFormat/>
    <w:rsid w:val="006E3A0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E3A09"/>
    <w:rPr>
      <w:rFonts w:eastAsiaTheme="minorEastAsia"/>
      <w:b/>
      <w:bCs/>
      <w:i/>
      <w:iCs/>
      <w:color w:val="4472C4" w:themeColor="accent1"/>
    </w:rPr>
  </w:style>
  <w:style w:type="character" w:styleId="Emphasis">
    <w:name w:val="Emphasis"/>
    <w:basedOn w:val="DefaultParagraphFont"/>
    <w:uiPriority w:val="20"/>
    <w:qFormat/>
    <w:rsid w:val="006E3A09"/>
    <w:rPr>
      <w:i/>
      <w:iCs/>
    </w:rPr>
  </w:style>
  <w:style w:type="character" w:styleId="IntenseReference">
    <w:name w:val="Intense Reference"/>
    <w:basedOn w:val="DefaultParagraphFont"/>
    <w:uiPriority w:val="32"/>
    <w:qFormat/>
    <w:rsid w:val="006E3A09"/>
    <w:rPr>
      <w:b/>
      <w:bCs/>
      <w:smallCaps/>
      <w:color w:val="2F5496" w:themeColor="accent1" w:themeShade="BF"/>
      <w:spacing w:val="5"/>
      <w:u w:val="single"/>
    </w:rPr>
  </w:style>
  <w:style w:type="paragraph" w:styleId="ListParagraph">
    <w:name w:val="List Paragraph"/>
    <w:basedOn w:val="Normal"/>
    <w:uiPriority w:val="1"/>
    <w:qFormat/>
    <w:rsid w:val="006E3A09"/>
    <w:pPr>
      <w:ind w:left="720"/>
      <w:contextualSpacing/>
    </w:pPr>
  </w:style>
  <w:style w:type="character" w:styleId="Hyperlink">
    <w:name w:val="Hyperlink"/>
    <w:basedOn w:val="DefaultParagraphFont"/>
    <w:uiPriority w:val="99"/>
    <w:unhideWhenUsed/>
    <w:rsid w:val="006E3A09"/>
    <w:rPr>
      <w:color w:val="0563C1" w:themeColor="hyperlink"/>
      <w:u w:val="single"/>
    </w:rPr>
  </w:style>
  <w:style w:type="paragraph" w:styleId="Footer">
    <w:name w:val="footer"/>
    <w:basedOn w:val="Normal"/>
    <w:link w:val="FooterChar"/>
    <w:uiPriority w:val="99"/>
    <w:unhideWhenUsed/>
    <w:rsid w:val="006E3A09"/>
    <w:pPr>
      <w:tabs>
        <w:tab w:val="center" w:pos="4680"/>
        <w:tab w:val="right" w:pos="9360"/>
      </w:tabs>
      <w:spacing w:after="0"/>
    </w:pPr>
  </w:style>
  <w:style w:type="character" w:customStyle="1" w:styleId="FooterChar">
    <w:name w:val="Footer Char"/>
    <w:basedOn w:val="DefaultParagraphFont"/>
    <w:link w:val="Footer"/>
    <w:uiPriority w:val="99"/>
    <w:rsid w:val="006E3A09"/>
    <w:rPr>
      <w:rFonts w:eastAsiaTheme="minorEastAsia"/>
    </w:rPr>
  </w:style>
  <w:style w:type="paragraph" w:styleId="Title">
    <w:name w:val="Title"/>
    <w:basedOn w:val="Normal"/>
    <w:next w:val="Normal"/>
    <w:link w:val="TitleChar"/>
    <w:uiPriority w:val="10"/>
    <w:qFormat/>
    <w:rsid w:val="00656B9B"/>
    <w:pPr>
      <w:pBdr>
        <w:bottom w:val="single" w:sz="8" w:space="4" w:color="4472C4" w:themeColor="accent1"/>
      </w:pBdr>
      <w:spacing w:after="0" w:line="204" w:lineRule="auto"/>
      <w:contextualSpacing/>
    </w:pPr>
    <w:rPr>
      <w:rFonts w:asciiTheme="majorHAnsi" w:eastAsiaTheme="majorEastAsia" w:hAnsiTheme="majorHAnsi" w:cstheme="majorBidi"/>
      <w:smallCaps/>
      <w:color w:val="323E4F" w:themeColor="text2" w:themeShade="BF"/>
      <w:spacing w:val="5"/>
      <w:kern w:val="2"/>
      <w:sz w:val="56"/>
      <w:szCs w:val="56"/>
    </w:rPr>
  </w:style>
  <w:style w:type="character" w:customStyle="1" w:styleId="TitleChar">
    <w:name w:val="Title Char"/>
    <w:basedOn w:val="DefaultParagraphFont"/>
    <w:link w:val="Title"/>
    <w:uiPriority w:val="10"/>
    <w:rsid w:val="00656B9B"/>
    <w:rPr>
      <w:rFonts w:asciiTheme="majorHAnsi" w:eastAsiaTheme="majorEastAsia" w:hAnsiTheme="majorHAnsi" w:cstheme="majorBidi"/>
      <w:smallCaps/>
      <w:color w:val="323E4F" w:themeColor="text2" w:themeShade="BF"/>
      <w:spacing w:val="5"/>
      <w:kern w:val="2"/>
      <w:sz w:val="56"/>
      <w:szCs w:val="56"/>
    </w:rPr>
  </w:style>
  <w:style w:type="character" w:styleId="FollowedHyperlink">
    <w:name w:val="FollowedHyperlink"/>
    <w:basedOn w:val="DefaultParagraphFont"/>
    <w:uiPriority w:val="99"/>
    <w:semiHidden/>
    <w:unhideWhenUsed/>
    <w:rsid w:val="00283DE4"/>
    <w:rPr>
      <w:color w:val="954F72" w:themeColor="followedHyperlink"/>
      <w:u w:val="single"/>
    </w:rPr>
  </w:style>
  <w:style w:type="paragraph" w:styleId="Header">
    <w:name w:val="header"/>
    <w:basedOn w:val="Normal"/>
    <w:link w:val="HeaderChar"/>
    <w:uiPriority w:val="99"/>
    <w:unhideWhenUsed/>
    <w:rsid w:val="00CC7B65"/>
    <w:pPr>
      <w:tabs>
        <w:tab w:val="center" w:pos="4680"/>
        <w:tab w:val="right" w:pos="9360"/>
      </w:tabs>
      <w:spacing w:after="0"/>
    </w:pPr>
  </w:style>
  <w:style w:type="character" w:customStyle="1" w:styleId="HeaderChar">
    <w:name w:val="Header Char"/>
    <w:basedOn w:val="DefaultParagraphFont"/>
    <w:link w:val="Header"/>
    <w:uiPriority w:val="99"/>
    <w:rsid w:val="00CC7B65"/>
    <w:rPr>
      <w:rFonts w:eastAsiaTheme="minorEastAsia"/>
    </w:rPr>
  </w:style>
  <w:style w:type="paragraph" w:styleId="BalloonText">
    <w:name w:val="Balloon Text"/>
    <w:basedOn w:val="Normal"/>
    <w:link w:val="BalloonTextChar"/>
    <w:uiPriority w:val="99"/>
    <w:semiHidden/>
    <w:unhideWhenUsed/>
    <w:rsid w:val="00CC7B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6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C7B65"/>
    <w:rPr>
      <w:sz w:val="16"/>
      <w:szCs w:val="16"/>
    </w:rPr>
  </w:style>
  <w:style w:type="paragraph" w:styleId="CommentText">
    <w:name w:val="annotation text"/>
    <w:basedOn w:val="Normal"/>
    <w:link w:val="CommentTextChar"/>
    <w:uiPriority w:val="99"/>
    <w:unhideWhenUsed/>
    <w:rsid w:val="00CC7B65"/>
    <w:rPr>
      <w:sz w:val="20"/>
      <w:szCs w:val="20"/>
    </w:rPr>
  </w:style>
  <w:style w:type="character" w:customStyle="1" w:styleId="CommentTextChar">
    <w:name w:val="Comment Text Char"/>
    <w:basedOn w:val="DefaultParagraphFont"/>
    <w:link w:val="CommentText"/>
    <w:uiPriority w:val="99"/>
    <w:rsid w:val="00CC7B6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C7B65"/>
    <w:rPr>
      <w:b/>
      <w:bCs/>
    </w:rPr>
  </w:style>
  <w:style w:type="character" w:customStyle="1" w:styleId="CommentSubjectChar">
    <w:name w:val="Comment Subject Char"/>
    <w:basedOn w:val="CommentTextChar"/>
    <w:link w:val="CommentSubject"/>
    <w:uiPriority w:val="99"/>
    <w:semiHidden/>
    <w:rsid w:val="00CC7B65"/>
    <w:rPr>
      <w:rFonts w:eastAsiaTheme="minorEastAsia"/>
      <w:b/>
      <w:bCs/>
      <w:sz w:val="20"/>
      <w:szCs w:val="20"/>
    </w:rPr>
  </w:style>
  <w:style w:type="character" w:styleId="UnresolvedMention">
    <w:name w:val="Unresolved Mention"/>
    <w:basedOn w:val="DefaultParagraphFont"/>
    <w:uiPriority w:val="99"/>
    <w:semiHidden/>
    <w:unhideWhenUsed/>
    <w:rsid w:val="00BF1DAB"/>
    <w:rPr>
      <w:color w:val="605E5C"/>
      <w:shd w:val="clear" w:color="auto" w:fill="E1DFDD"/>
    </w:rPr>
  </w:style>
  <w:style w:type="paragraph" w:styleId="Revision">
    <w:name w:val="Revision"/>
    <w:hidden/>
    <w:uiPriority w:val="99"/>
    <w:semiHidden/>
    <w:rsid w:val="00B30E9B"/>
    <w:pPr>
      <w:spacing w:after="0" w:line="240" w:lineRule="auto"/>
    </w:pPr>
    <w:rPr>
      <w:rFonts w:eastAsiaTheme="minorEastAsia"/>
    </w:rPr>
  </w:style>
  <w:style w:type="character" w:customStyle="1" w:styleId="Heading4Char">
    <w:name w:val="Heading 4 Char"/>
    <w:basedOn w:val="DefaultParagraphFont"/>
    <w:link w:val="Heading4"/>
    <w:uiPriority w:val="9"/>
    <w:semiHidden/>
    <w:rsid w:val="005A64C0"/>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5A64C0"/>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6A33E3"/>
    <w:pPr>
      <w:spacing w:after="0"/>
    </w:pPr>
    <w:rPr>
      <w:sz w:val="20"/>
      <w:szCs w:val="20"/>
    </w:rPr>
  </w:style>
  <w:style w:type="character" w:customStyle="1" w:styleId="FootnoteTextChar">
    <w:name w:val="Footnote Text Char"/>
    <w:basedOn w:val="DefaultParagraphFont"/>
    <w:link w:val="FootnoteText"/>
    <w:uiPriority w:val="99"/>
    <w:semiHidden/>
    <w:rsid w:val="006A33E3"/>
    <w:rPr>
      <w:rFonts w:eastAsiaTheme="minorEastAsia"/>
      <w:sz w:val="20"/>
      <w:szCs w:val="20"/>
    </w:rPr>
  </w:style>
  <w:style w:type="character" w:styleId="FootnoteReference">
    <w:name w:val="footnote reference"/>
    <w:basedOn w:val="DefaultParagraphFont"/>
    <w:uiPriority w:val="99"/>
    <w:semiHidden/>
    <w:unhideWhenUsed/>
    <w:rsid w:val="006A33E3"/>
    <w:rPr>
      <w:vertAlign w:val="superscript"/>
    </w:rPr>
  </w:style>
  <w:style w:type="paragraph" w:customStyle="1" w:styleId="H2Numbered">
    <w:name w:val="H2 Numbered"/>
    <w:basedOn w:val="Heading2"/>
    <w:link w:val="H2NumberedChar"/>
    <w:qFormat/>
    <w:rsid w:val="006A27FF"/>
    <w:pPr>
      <w:pageBreakBefore/>
      <w:numPr>
        <w:numId w:val="1"/>
      </w:numPr>
      <w:spacing w:before="0" w:after="240"/>
    </w:pPr>
    <w:rPr>
      <w:kern w:val="2"/>
      <w:sz w:val="28"/>
    </w:rPr>
  </w:style>
  <w:style w:type="character" w:customStyle="1" w:styleId="H2NumberedChar">
    <w:name w:val="H2 Numbered Char"/>
    <w:basedOn w:val="Heading2Char"/>
    <w:link w:val="H2Numbered"/>
    <w:rsid w:val="006A27FF"/>
    <w:rPr>
      <w:rFonts w:asciiTheme="majorHAnsi" w:eastAsiaTheme="majorEastAsia" w:hAnsiTheme="majorHAnsi" w:cstheme="majorBidi"/>
      <w:b/>
      <w:bCs/>
      <w:color w:val="4472C4" w:themeColor="accent1"/>
      <w:kern w:val="2"/>
      <w:sz w:val="28"/>
      <w:szCs w:val="26"/>
    </w:rPr>
  </w:style>
  <w:style w:type="table" w:styleId="TableGrid">
    <w:name w:val="Table Grid"/>
    <w:basedOn w:val="TableNormal"/>
    <w:uiPriority w:val="39"/>
    <w:rsid w:val="008601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53E"/>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H2Numbered"/>
    <w:next w:val="Normal"/>
    <w:uiPriority w:val="35"/>
    <w:unhideWhenUsed/>
    <w:qFormat/>
    <w:rsid w:val="00D41D22"/>
    <w:pPr>
      <w:pageBreakBefore w:val="0"/>
      <w:numPr>
        <w:numId w:val="0"/>
      </w:numPr>
      <w:spacing w:before="240"/>
    </w:pPr>
  </w:style>
  <w:style w:type="paragraph" w:customStyle="1" w:styleId="TABLEHEADERROW">
    <w:name w:val="TABLE HEADER ROW"/>
    <w:qFormat/>
    <w:rsid w:val="00BD6601"/>
    <w:pPr>
      <w:spacing w:after="120" w:line="240" w:lineRule="auto"/>
    </w:pPr>
    <w:rPr>
      <w:rFonts w:eastAsiaTheme="minorEastAsia"/>
      <w:b/>
      <w:bCs/>
      <w:color w:val="002060"/>
      <w:sz w:val="24"/>
      <w:szCs w:val="24"/>
    </w:rPr>
  </w:style>
  <w:style w:type="paragraph" w:customStyle="1" w:styleId="TABLECATEGORYTEXT">
    <w:name w:val="TABLE CATEGORY TEXT"/>
    <w:basedOn w:val="ListParagraph"/>
    <w:qFormat/>
    <w:rsid w:val="00692620"/>
    <w:pPr>
      <w:numPr>
        <w:numId w:val="3"/>
      </w:numPr>
    </w:pPr>
    <w:rPr>
      <w:rFonts w:cs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6720">
      <w:bodyDiv w:val="1"/>
      <w:marLeft w:val="0"/>
      <w:marRight w:val="0"/>
      <w:marTop w:val="0"/>
      <w:marBottom w:val="0"/>
      <w:divBdr>
        <w:top w:val="none" w:sz="0" w:space="0" w:color="auto"/>
        <w:left w:val="none" w:sz="0" w:space="0" w:color="auto"/>
        <w:bottom w:val="none" w:sz="0" w:space="0" w:color="auto"/>
        <w:right w:val="none" w:sz="0" w:space="0" w:color="auto"/>
      </w:divBdr>
    </w:div>
    <w:div w:id="462386480">
      <w:bodyDiv w:val="1"/>
      <w:marLeft w:val="0"/>
      <w:marRight w:val="0"/>
      <w:marTop w:val="0"/>
      <w:marBottom w:val="0"/>
      <w:divBdr>
        <w:top w:val="none" w:sz="0" w:space="0" w:color="auto"/>
        <w:left w:val="none" w:sz="0" w:space="0" w:color="auto"/>
        <w:bottom w:val="none" w:sz="0" w:space="0" w:color="auto"/>
        <w:right w:val="none" w:sz="0" w:space="0" w:color="auto"/>
      </w:divBdr>
    </w:div>
    <w:div w:id="1256280983">
      <w:bodyDiv w:val="1"/>
      <w:marLeft w:val="0"/>
      <w:marRight w:val="0"/>
      <w:marTop w:val="0"/>
      <w:marBottom w:val="0"/>
      <w:divBdr>
        <w:top w:val="none" w:sz="0" w:space="0" w:color="auto"/>
        <w:left w:val="none" w:sz="0" w:space="0" w:color="auto"/>
        <w:bottom w:val="none" w:sz="0" w:space="0" w:color="auto"/>
        <w:right w:val="none" w:sz="0" w:space="0" w:color="auto"/>
      </w:divBdr>
      <w:divsChild>
        <w:div w:id="2056699">
          <w:marLeft w:val="0"/>
          <w:marRight w:val="0"/>
          <w:marTop w:val="0"/>
          <w:marBottom w:val="0"/>
          <w:divBdr>
            <w:top w:val="none" w:sz="0" w:space="0" w:color="auto"/>
            <w:left w:val="none" w:sz="0" w:space="0" w:color="auto"/>
            <w:bottom w:val="none" w:sz="0" w:space="0" w:color="auto"/>
            <w:right w:val="none" w:sz="0" w:space="0" w:color="auto"/>
          </w:divBdr>
        </w:div>
        <w:div w:id="76367397">
          <w:marLeft w:val="0"/>
          <w:marRight w:val="0"/>
          <w:marTop w:val="0"/>
          <w:marBottom w:val="0"/>
          <w:divBdr>
            <w:top w:val="none" w:sz="0" w:space="0" w:color="auto"/>
            <w:left w:val="none" w:sz="0" w:space="0" w:color="auto"/>
            <w:bottom w:val="none" w:sz="0" w:space="0" w:color="auto"/>
            <w:right w:val="none" w:sz="0" w:space="0" w:color="auto"/>
          </w:divBdr>
        </w:div>
        <w:div w:id="139395721">
          <w:marLeft w:val="0"/>
          <w:marRight w:val="0"/>
          <w:marTop w:val="0"/>
          <w:marBottom w:val="0"/>
          <w:divBdr>
            <w:top w:val="none" w:sz="0" w:space="0" w:color="auto"/>
            <w:left w:val="none" w:sz="0" w:space="0" w:color="auto"/>
            <w:bottom w:val="none" w:sz="0" w:space="0" w:color="auto"/>
            <w:right w:val="none" w:sz="0" w:space="0" w:color="auto"/>
          </w:divBdr>
        </w:div>
      </w:divsChild>
    </w:div>
    <w:div w:id="21114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gov/about/offices/list/osers/osep/rda/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5D70169B3DB4A8354CF0711F3B5AA" ma:contentTypeVersion="1" ma:contentTypeDescription="Create a new document." ma:contentTypeScope="" ma:versionID="aebfc104ab7926ae71937e224e8d0d78">
  <xsd:schema xmlns:xsd="http://www.w3.org/2001/XMLSchema" xmlns:xs="http://www.w3.org/2001/XMLSchema" xmlns:p="http://schemas.microsoft.com/office/2006/metadata/properties" xmlns:ns2="2f1c05d0-5b60-4115-8242-03e90d09a654" targetNamespace="http://schemas.microsoft.com/office/2006/metadata/properties" ma:root="true" ma:fieldsID="4331499f7326a866cfc6b8162f229a5a" ns2:_="">
    <xsd:import namespace="2f1c05d0-5b60-4115-8242-03e90d09a65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05d0-5b60-4115-8242-03e90d09a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configuration xmlns:c="http://ns.axespdf.com/word/configuration">
  <c:group id="Styles">
    <c:group id="__Title">
      <c:property id="RoleID" type="string">ParagraphHeading</c:property>
    </c:group>
    <c:group id="__Heading1">
      <c:property id="RoleID" type="string">ParagraphHeading</c:property>
      <c:property id="Level" type="integer">2</c:property>
    </c:group>
    <c:group id="__Heading2">
      <c:property id="RoleID" type="string">ParagraphHeading</c:property>
      <c:property id="Level" type="integer">3</c:property>
    </c:group>
    <c:group id="TABLE HEADER ROW">
      <c:property id="RoleID" type="string">ParagraphHeaderCell</c:property>
      <c:property id="Scope" type="integer">1</c:property>
    </c:group>
    <c:group id="TABLE CATEGORY TEXT">
      <c:property id="RoleID" type="string">ParagraphHeaderCell</c:property>
      <c:property id="Scope" type="integer">2</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9DB146BD-5621-4C32-9089-28442977D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05d0-5b60-4115-8242-03e90d09a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9ACFF-2032-4A6F-8CBD-657ED42156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AE1952-8672-4D90-AC92-E2F758B56914}">
  <ds:schemaRefs>
    <ds:schemaRef ds:uri="http://schemas.openxmlformats.org/officeDocument/2006/bibliography"/>
  </ds:schemaRefs>
</ds:datastoreItem>
</file>

<file path=customXml/itemProps4.xml><?xml version="1.0" encoding="utf-8"?>
<ds:datastoreItem xmlns:ds="http://schemas.openxmlformats.org/officeDocument/2006/customXml" ds:itemID="{86740D5B-CFF9-45A9-A583-4CFA3E9BD5DF}">
  <ds:schemaRefs>
    <ds:schemaRef ds:uri="http://schemas.microsoft.com/sharepoint/v3/contenttype/forms"/>
  </ds:schemaRefs>
</ds:datastoreItem>
</file>

<file path=customXml/itemProps5.xml><?xml version="1.0" encoding="utf-8"?>
<ds:datastoreItem xmlns:ds="http://schemas.openxmlformats.org/officeDocument/2006/customXml" ds:itemID="{FEC835F0-A5AC-47FE-94B5-936E46F5B1E7}">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Part B/C Sustaining Compliance and Improvement (Word)</vt:lpstr>
    </vt:vector>
  </TitlesOfParts>
  <Company>U.S. Department of Education</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CENTER ADAPTED PART B SUBRECIPIENT MONITORING</dc:title>
  <dc:subject>Sustaining Compliance and Improvement</dc:subject>
  <dc:creator>Moran, Kate</dc:creator>
  <cp:keywords/>
  <dc:description/>
  <cp:lastModifiedBy>Marcelina Contreras</cp:lastModifiedBy>
  <cp:revision>2</cp:revision>
  <cp:lastPrinted>2024-02-20T21:12:00Z</cp:lastPrinted>
  <dcterms:created xsi:type="dcterms:W3CDTF">2024-02-22T01:07:00Z</dcterms:created>
  <dcterms:modified xsi:type="dcterms:W3CDTF">2024-02-22T01:07:00Z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0x010100CAF5D70169B3DB4A8354CF0711F3B5AA</vt:lpwstr>
  </property>
</Properties>
</file>