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McGuire.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newly-immigrated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Ximena 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Ximena 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culturally-responsive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culturally-responsive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top-down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newly-immigrated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scaffolds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scaffold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SPP/APR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culturally-specific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Cristina Santamaría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top-down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Capacity-Building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dualcapacity.org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Debra Jennings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Debra Jennings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María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Cioè-Peña,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María Cioè-Peña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Capacity-Building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Debra Jennings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Capacity-Building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Mireika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Mireika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Mireika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Cioè-Peña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multifaceted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María Cioè-Peña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Cioè-Peña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María Cioè-Peña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María Cioè-Peña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irreplaceable.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Angela 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Eliana Tardio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E3 (M1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FlPhX_vrS2FnptQr9qaHONgOnyAEUervZZpGpzX79J5xuYe86XZ20-mNwMHoP6AKKhFBHdbLkb_H0uv_B-hFXIrftp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