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K-12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multi-tiered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Timothy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Timothy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multidimensional.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over-identified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under-identified.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Cincinnati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Marika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justification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Timothy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Timothy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debriefing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comprehensive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Jennifer Kane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MTSS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Mexico's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Kirsi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Kirsi 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Kirsi 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cafeteria,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playground.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observation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Kirsi 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Jennifer Kane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Ortiz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proficiencies,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disaggregate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disaggregate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disaggregating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Marika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Guatemala,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indigenous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00:14:53]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Marika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quantitative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Kirsi Laine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educators',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Marika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Marika Kobayashi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dismantling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re-imagining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Esparza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Julie Esparza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deficits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caregivers,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Timothy Tipton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Ximena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Ximena 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stakeholders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bilingual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Ximena 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Hurtado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Jennifer Kane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disproportionately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disaggregated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linguistically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Swati Guin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coherence.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Jamie Burho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ncsi.wested.org.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E2 (M1 (Completed  05/16/23)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17,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f9ZAlSsJ4-RlEQCdQGqc6wllUZyxFcj0bPd2fg7oE7kVIZwtvVk2gHihH8kdL0Cw6eWHIszQGlRxOAIpjJsoSHTnzAg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