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TLC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Alfredo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Artiles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second-language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dually-identified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multilingualism,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diploma.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Dominguez-Clark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Dominguez-Clark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Montclair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English-only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enslavement,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usurped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retardation,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inferiority,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monolingualism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usurped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albeit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U.S.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reauthorized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Cioe-Pena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Rosa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Graff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research-informed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E1 (M1 (Completed  05/16/23)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wqX-Ag7TtuE9nCZc7LsGAt3GHEENkiWaoGhvO89Q9j0NBP1S0gCXnM9eKnAz5zhFoN4uKrlLDr_gngD57uXmDi2geaY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